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CDE6" w14:textId="77777777" w:rsidR="005246E0" w:rsidRDefault="005246E0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6687E45C" w14:textId="77777777" w:rsidR="005246E0" w:rsidRDefault="005246E0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06507FF5" w14:textId="0D889E32" w:rsidR="005246E0" w:rsidRDefault="005246E0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4D298967" w14:textId="4D8918D2" w:rsidR="00B009C9" w:rsidRDefault="00B009C9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1F8A196A" w14:textId="0FFDCB48" w:rsidR="00B009C9" w:rsidRDefault="00B009C9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166C3F7B" w14:textId="51CC1F9C" w:rsidR="00B009C9" w:rsidRDefault="00B009C9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1EE579EB" w14:textId="6482E278" w:rsidR="00B009C9" w:rsidRDefault="00B009C9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0C36F4FB" w14:textId="3360FD6D" w:rsidR="00B009C9" w:rsidRDefault="00B009C9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2AE719F0" w14:textId="7EDACFC5" w:rsidR="00B009C9" w:rsidRDefault="00B009C9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2B61B2A0" w14:textId="77777777" w:rsidR="00B009C9" w:rsidRDefault="00B009C9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59498802" w14:textId="77777777" w:rsidR="005246E0" w:rsidRDefault="005246E0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74F3A2CB" w14:textId="77777777" w:rsidR="005246E0" w:rsidRDefault="005246E0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1D909569" w14:textId="77777777" w:rsidR="00234536" w:rsidRDefault="00234536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4EC09783" w14:textId="588EFBB4" w:rsidR="00234536" w:rsidRDefault="00AA1BEC" w:rsidP="00AF2225">
      <w:pPr>
        <w:jc w:val="center"/>
        <w:rPr>
          <w:rFonts w:ascii="MetaBook-Roman" w:hAnsi="MetaBook-Roman"/>
          <w:b/>
          <w:sz w:val="24"/>
          <w:szCs w:val="24"/>
        </w:rPr>
      </w:pPr>
      <w:r>
        <w:rPr>
          <w:rFonts w:ascii="MetaBook-Roman" w:hAnsi="MetaBook-Roman"/>
          <w:b/>
          <w:noProof/>
          <w:sz w:val="24"/>
          <w:szCs w:val="24"/>
        </w:rPr>
        <w:drawing>
          <wp:inline distT="0" distB="0" distL="0" distR="0" wp14:anchorId="005B126B" wp14:editId="5172386C">
            <wp:extent cx="5943600" cy="1376680"/>
            <wp:effectExtent l="0" t="0" r="0" b="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6989" w14:textId="77777777" w:rsidR="00234536" w:rsidRDefault="00234536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7EEE40F8" w14:textId="25EB784E" w:rsidR="005246E0" w:rsidRDefault="005246E0" w:rsidP="00AA1BEC">
      <w:pPr>
        <w:rPr>
          <w:b/>
        </w:rPr>
      </w:pPr>
      <w:r w:rsidRPr="005246E0">
        <w:rPr>
          <w:b/>
        </w:rPr>
        <w:t xml:space="preserve"> </w:t>
      </w:r>
    </w:p>
    <w:p w14:paraId="3A8AB20D" w14:textId="77777777" w:rsidR="005246E0" w:rsidRDefault="005246E0" w:rsidP="005246E0">
      <w:pPr>
        <w:jc w:val="center"/>
        <w:rPr>
          <w:b/>
        </w:rPr>
      </w:pPr>
    </w:p>
    <w:p w14:paraId="75DD7F2D" w14:textId="77777777" w:rsidR="005246E0" w:rsidRDefault="005246E0" w:rsidP="005246E0">
      <w:pPr>
        <w:jc w:val="center"/>
        <w:rPr>
          <w:b/>
        </w:rPr>
      </w:pPr>
    </w:p>
    <w:p w14:paraId="2E5E6E5B" w14:textId="3D624C91" w:rsidR="005246E0" w:rsidRPr="00374B12" w:rsidRDefault="005246E0" w:rsidP="005246E0">
      <w:pPr>
        <w:jc w:val="center"/>
        <w:rPr>
          <w:b/>
        </w:rPr>
      </w:pPr>
    </w:p>
    <w:p w14:paraId="77BC6FF9" w14:textId="77777777" w:rsidR="005246E0" w:rsidRPr="005246E0" w:rsidRDefault="005246E0" w:rsidP="005246E0">
      <w:pPr>
        <w:jc w:val="center"/>
        <w:rPr>
          <w:sz w:val="28"/>
          <w:szCs w:val="28"/>
        </w:rPr>
      </w:pPr>
      <w:r w:rsidRPr="005246E0">
        <w:rPr>
          <w:sz w:val="28"/>
          <w:szCs w:val="28"/>
        </w:rPr>
        <w:t>Management’s Discussion and Analysis of the Financial Report</w:t>
      </w:r>
    </w:p>
    <w:p w14:paraId="13209846" w14:textId="2E931A92" w:rsidR="005246E0" w:rsidRDefault="005246E0" w:rsidP="005246E0">
      <w:pPr>
        <w:jc w:val="center"/>
        <w:rPr>
          <w:sz w:val="28"/>
          <w:szCs w:val="28"/>
        </w:rPr>
      </w:pPr>
      <w:r w:rsidRPr="005246E0">
        <w:rPr>
          <w:sz w:val="28"/>
          <w:szCs w:val="28"/>
        </w:rPr>
        <w:t xml:space="preserve">For </w:t>
      </w:r>
      <w:r w:rsidR="00CA2DE5">
        <w:rPr>
          <w:sz w:val="28"/>
          <w:szCs w:val="28"/>
        </w:rPr>
        <w:t>the Year Ended December 31, 20</w:t>
      </w:r>
      <w:r w:rsidR="00E611B0">
        <w:rPr>
          <w:sz w:val="28"/>
          <w:szCs w:val="28"/>
        </w:rPr>
        <w:t>20</w:t>
      </w:r>
    </w:p>
    <w:p w14:paraId="7733E978" w14:textId="77777777" w:rsidR="00234536" w:rsidRDefault="00234536" w:rsidP="005246E0">
      <w:pPr>
        <w:jc w:val="center"/>
        <w:rPr>
          <w:sz w:val="28"/>
          <w:szCs w:val="28"/>
        </w:rPr>
      </w:pPr>
    </w:p>
    <w:p w14:paraId="2F9E2EDB" w14:textId="257A5E8B" w:rsidR="005246E0" w:rsidRPr="005246E0" w:rsidRDefault="005246E0" w:rsidP="005246E0">
      <w:pPr>
        <w:jc w:val="center"/>
      </w:pPr>
      <w:r w:rsidRPr="005246E0">
        <w:t>(</w:t>
      </w:r>
      <w:r>
        <w:t>An accompaniment</w:t>
      </w:r>
      <w:r w:rsidRPr="005246E0">
        <w:t xml:space="preserve"> </w:t>
      </w:r>
      <w:r w:rsidR="00CA2DE5">
        <w:t xml:space="preserve">to </w:t>
      </w:r>
      <w:r w:rsidRPr="005246E0">
        <w:t>the audited financial statement)</w:t>
      </w:r>
    </w:p>
    <w:p w14:paraId="6193D20E" w14:textId="77777777" w:rsidR="005246E0" w:rsidRDefault="005246E0" w:rsidP="005246E0">
      <w:pPr>
        <w:jc w:val="center"/>
        <w:rPr>
          <w:rFonts w:ascii="MetaBook-Roman" w:hAnsi="MetaBook-Roman"/>
          <w:b/>
          <w:sz w:val="24"/>
          <w:szCs w:val="24"/>
        </w:rPr>
      </w:pPr>
    </w:p>
    <w:p w14:paraId="7EA7F2D0" w14:textId="240B8B55" w:rsidR="005246E0" w:rsidRDefault="005246E0" w:rsidP="005246E0">
      <w:pPr>
        <w:jc w:val="center"/>
        <w:rPr>
          <w:rFonts w:ascii="MetaBook-Roman" w:hAnsi="MetaBook-Roman"/>
          <w:b/>
          <w:sz w:val="24"/>
          <w:szCs w:val="24"/>
        </w:rPr>
      </w:pPr>
      <w:r>
        <w:rPr>
          <w:rFonts w:ascii="MetaBook-Roman" w:hAnsi="MetaBook-Roman"/>
          <w:b/>
          <w:sz w:val="24"/>
          <w:szCs w:val="24"/>
        </w:rPr>
        <w:br w:type="page"/>
      </w:r>
    </w:p>
    <w:p w14:paraId="03F12B0B" w14:textId="77777777" w:rsidR="005246E0" w:rsidRDefault="005246E0" w:rsidP="00AF2225">
      <w:pPr>
        <w:jc w:val="center"/>
        <w:rPr>
          <w:rFonts w:ascii="MetaBook-Roman" w:hAnsi="MetaBook-Roman"/>
          <w:b/>
          <w:sz w:val="24"/>
          <w:szCs w:val="24"/>
        </w:rPr>
      </w:pPr>
    </w:p>
    <w:p w14:paraId="214B6EEF" w14:textId="09393D8F" w:rsidR="00414916" w:rsidRPr="00374B12" w:rsidRDefault="001E374F" w:rsidP="00567B77">
      <w:pPr>
        <w:jc w:val="both"/>
        <w:rPr>
          <w:b/>
        </w:rPr>
      </w:pPr>
      <w:r>
        <w:rPr>
          <w:b/>
        </w:rPr>
        <w:t>O</w:t>
      </w:r>
      <w:r w:rsidR="00414916" w:rsidRPr="00374B12">
        <w:rPr>
          <w:b/>
        </w:rPr>
        <w:t>verview of the Financial Statements</w:t>
      </w:r>
    </w:p>
    <w:p w14:paraId="65EB987E" w14:textId="77777777" w:rsidR="00414916" w:rsidRPr="00374B12" w:rsidRDefault="00414916" w:rsidP="00567B77">
      <w:pPr>
        <w:jc w:val="both"/>
      </w:pPr>
    </w:p>
    <w:p w14:paraId="1A461987" w14:textId="52E61130" w:rsidR="00414916" w:rsidRPr="00241474" w:rsidRDefault="00832BC9" w:rsidP="00567B77">
      <w:pPr>
        <w:jc w:val="both"/>
      </w:pPr>
      <w:r w:rsidRPr="00374B12">
        <w:t xml:space="preserve">This discussion and analysis </w:t>
      </w:r>
      <w:proofErr w:type="gramStart"/>
      <w:r w:rsidR="00414916" w:rsidRPr="00374B12">
        <w:t>is</w:t>
      </w:r>
      <w:proofErr w:type="gramEnd"/>
      <w:r w:rsidR="00414916" w:rsidRPr="00374B12">
        <w:t xml:space="preserve"> a narrative overview and analysis of the financial activities of </w:t>
      </w:r>
      <w:r w:rsidR="004E4279">
        <w:t xml:space="preserve">Boys &amp; Girls Clubs </w:t>
      </w:r>
      <w:r w:rsidR="00414916" w:rsidRPr="00374B12">
        <w:t>of Acadiana, Inc. (</w:t>
      </w:r>
      <w:r w:rsidR="004E4279">
        <w:t>BGC</w:t>
      </w:r>
      <w:r w:rsidR="00414916" w:rsidRPr="00374B12">
        <w:t xml:space="preserve">A) </w:t>
      </w:r>
      <w:r w:rsidRPr="00374B12">
        <w:t xml:space="preserve">prepared by its management </w:t>
      </w:r>
      <w:r w:rsidR="00414916" w:rsidRPr="00374B12">
        <w:t>for the fis</w:t>
      </w:r>
      <w:r w:rsidR="00F643A5" w:rsidRPr="00374B12">
        <w:t>cal year ended December 31, 20</w:t>
      </w:r>
      <w:r w:rsidR="00D75A61">
        <w:t>20</w:t>
      </w:r>
      <w:r w:rsidR="002B5B5C" w:rsidRPr="00374B12">
        <w:t>, compared to the corresponding period in the prior year</w:t>
      </w:r>
      <w:r w:rsidR="00414916" w:rsidRPr="00374B12">
        <w:t>.  The intent is to assist the reader in fo</w:t>
      </w:r>
      <w:r w:rsidR="002266FF" w:rsidRPr="00374B12">
        <w:t xml:space="preserve">cusing on significant financial issues and </w:t>
      </w:r>
      <w:r w:rsidR="0084064B">
        <w:t xml:space="preserve">to </w:t>
      </w:r>
      <w:r w:rsidR="002266FF" w:rsidRPr="00374B12">
        <w:t>provide an ove</w:t>
      </w:r>
      <w:r w:rsidR="003172B9" w:rsidRPr="00374B12">
        <w:t>rview of the financial activity a</w:t>
      </w:r>
      <w:r w:rsidRPr="00374B12">
        <w:t>s it relates to</w:t>
      </w:r>
      <w:r w:rsidR="003172B9" w:rsidRPr="00374B12">
        <w:t xml:space="preserve"> the financial report for </w:t>
      </w:r>
      <w:r w:rsidR="001F3351" w:rsidRPr="00374B12">
        <w:t>the year ended December 31, 20</w:t>
      </w:r>
      <w:r w:rsidR="00D75A61">
        <w:t>20</w:t>
      </w:r>
      <w:r w:rsidR="003172B9" w:rsidRPr="00374B12">
        <w:t>.</w:t>
      </w:r>
      <w:r w:rsidR="00241474">
        <w:t xml:space="preserve"> </w:t>
      </w:r>
      <w:r w:rsidR="00241474" w:rsidRPr="00241474">
        <w:rPr>
          <w:b/>
        </w:rPr>
        <w:t xml:space="preserve">All page numbers noted in this document refer to </w:t>
      </w:r>
      <w:r w:rsidR="00D75A61">
        <w:rPr>
          <w:b/>
        </w:rPr>
        <w:t xml:space="preserve">Boys &amp; Girls Clubs </w:t>
      </w:r>
      <w:r w:rsidR="00241474" w:rsidRPr="00241474">
        <w:rPr>
          <w:b/>
        </w:rPr>
        <w:t xml:space="preserve">of Acadiana, Inc. Financial Report for Years Ended December 31, </w:t>
      </w:r>
      <w:proofErr w:type="gramStart"/>
      <w:r w:rsidR="007074CF">
        <w:rPr>
          <w:b/>
        </w:rPr>
        <w:t>2020</w:t>
      </w:r>
      <w:proofErr w:type="gramEnd"/>
      <w:r w:rsidR="00241474">
        <w:rPr>
          <w:b/>
        </w:rPr>
        <w:t xml:space="preserve"> and 201</w:t>
      </w:r>
      <w:r w:rsidR="007074CF">
        <w:rPr>
          <w:b/>
        </w:rPr>
        <w:t>9</w:t>
      </w:r>
      <w:r w:rsidR="00241474">
        <w:rPr>
          <w:b/>
        </w:rPr>
        <w:t xml:space="preserve"> dated Ju</w:t>
      </w:r>
      <w:r w:rsidR="009B1E7D">
        <w:rPr>
          <w:b/>
        </w:rPr>
        <w:t>ne</w:t>
      </w:r>
      <w:r w:rsidR="00241474">
        <w:rPr>
          <w:b/>
        </w:rPr>
        <w:t xml:space="preserve"> </w:t>
      </w:r>
      <w:r w:rsidR="009B1E7D">
        <w:rPr>
          <w:b/>
        </w:rPr>
        <w:t>8</w:t>
      </w:r>
      <w:r w:rsidR="00241474">
        <w:rPr>
          <w:b/>
        </w:rPr>
        <w:t>, 20</w:t>
      </w:r>
      <w:r w:rsidR="0008087E">
        <w:rPr>
          <w:b/>
        </w:rPr>
        <w:t>2</w:t>
      </w:r>
      <w:r w:rsidR="009B1E7D">
        <w:rPr>
          <w:b/>
        </w:rPr>
        <w:t>1</w:t>
      </w:r>
      <w:r w:rsidR="00241474">
        <w:rPr>
          <w:b/>
        </w:rPr>
        <w:t xml:space="preserve"> and is referred to as “the report” in this document.</w:t>
      </w:r>
    </w:p>
    <w:p w14:paraId="0E4E1E45" w14:textId="77777777" w:rsidR="002266FF" w:rsidRPr="00374B12" w:rsidRDefault="002266FF" w:rsidP="00567B77">
      <w:pPr>
        <w:jc w:val="both"/>
      </w:pPr>
    </w:p>
    <w:p w14:paraId="65EC08D1" w14:textId="77777777" w:rsidR="002266FF" w:rsidRPr="00374B12" w:rsidRDefault="006C46B0" w:rsidP="00567B77">
      <w:pPr>
        <w:jc w:val="both"/>
      </w:pPr>
      <w:r w:rsidRPr="00374B12">
        <w:t>Nonp</w:t>
      </w:r>
      <w:r w:rsidR="000D1C9C" w:rsidRPr="00374B12">
        <w:t>rofit</w:t>
      </w:r>
      <w:r w:rsidR="002266FF" w:rsidRPr="00374B12">
        <w:t xml:space="preserve"> Auditing Stan</w:t>
      </w:r>
      <w:r w:rsidR="002D1CF7" w:rsidRPr="00374B12">
        <w:t>dard</w:t>
      </w:r>
      <w:r w:rsidR="000D1C9C" w:rsidRPr="00374B12">
        <w:t>s</w:t>
      </w:r>
      <w:r w:rsidR="002D1CF7" w:rsidRPr="00374B12">
        <w:t xml:space="preserve"> requires the presentation </w:t>
      </w:r>
      <w:r w:rsidR="002266FF" w:rsidRPr="00374B12">
        <w:t xml:space="preserve">of four </w:t>
      </w:r>
      <w:r w:rsidR="002D1CF7" w:rsidRPr="00374B12">
        <w:t>basic financial statements</w:t>
      </w:r>
      <w:r w:rsidR="00CD624D" w:rsidRPr="00374B12">
        <w:t>, as</w:t>
      </w:r>
      <w:r w:rsidR="002D1CF7" w:rsidRPr="00374B12">
        <w:t xml:space="preserve"> discussed below.  This report also includes </w:t>
      </w:r>
      <w:r w:rsidR="009D2C14" w:rsidRPr="00374B12">
        <w:t>n</w:t>
      </w:r>
      <w:r w:rsidR="002D1CF7" w:rsidRPr="00374B12">
        <w:t>otes to the financial statements and other supplementary information in addition to the basic financial statements.</w:t>
      </w:r>
      <w:r w:rsidR="00CD624D" w:rsidRPr="00374B12">
        <w:t xml:space="preserve">  These statements </w:t>
      </w:r>
      <w:r w:rsidR="001F3351" w:rsidRPr="00374B12">
        <w:t>have been prepared</w:t>
      </w:r>
      <w:r w:rsidR="00CD624D" w:rsidRPr="00374B12">
        <w:t xml:space="preserve"> using </w:t>
      </w:r>
      <w:r w:rsidR="001F3351" w:rsidRPr="00374B12">
        <w:t xml:space="preserve">the </w:t>
      </w:r>
      <w:r w:rsidR="00CD624D" w:rsidRPr="00374B12">
        <w:t xml:space="preserve">accrual basis of accounting.  </w:t>
      </w:r>
      <w:proofErr w:type="gramStart"/>
      <w:r w:rsidR="00CD624D" w:rsidRPr="00374B12">
        <w:t>All of</w:t>
      </w:r>
      <w:proofErr w:type="gramEnd"/>
      <w:r w:rsidR="00CD624D" w:rsidRPr="00374B12">
        <w:t xml:space="preserve"> the current year’s revenues and expenses are taken into account regardless of when cash is received or paid.</w:t>
      </w:r>
    </w:p>
    <w:p w14:paraId="2B1B2C45" w14:textId="77777777" w:rsidR="002D1CF7" w:rsidRPr="00374B12" w:rsidRDefault="002D1CF7" w:rsidP="00567B77">
      <w:pPr>
        <w:jc w:val="both"/>
      </w:pPr>
    </w:p>
    <w:p w14:paraId="4C7E0D96" w14:textId="7F490FA8" w:rsidR="002D1CF7" w:rsidRPr="00374B12" w:rsidRDefault="002D1CF7" w:rsidP="00567B77">
      <w:pPr>
        <w:jc w:val="both"/>
      </w:pPr>
      <w:r w:rsidRPr="00374B12">
        <w:rPr>
          <w:u w:val="single"/>
        </w:rPr>
        <w:t>Statement</w:t>
      </w:r>
      <w:r w:rsidR="001215D4" w:rsidRPr="00374B12">
        <w:rPr>
          <w:u w:val="single"/>
        </w:rPr>
        <w:t>s</w:t>
      </w:r>
      <w:r w:rsidRPr="00374B12">
        <w:rPr>
          <w:u w:val="single"/>
        </w:rPr>
        <w:t xml:space="preserve"> of Financial </w:t>
      </w:r>
      <w:r w:rsidR="00F929C0" w:rsidRPr="00374B12">
        <w:rPr>
          <w:u w:val="single"/>
        </w:rPr>
        <w:t>Position</w:t>
      </w:r>
      <w:r w:rsidR="00440339" w:rsidRPr="00374B12">
        <w:t xml:space="preserve"> </w:t>
      </w:r>
      <w:r w:rsidR="00F929C0" w:rsidRPr="00374B12">
        <w:t>present</w:t>
      </w:r>
      <w:r w:rsidR="00F46228">
        <w:t>s</w:t>
      </w:r>
      <w:r w:rsidR="001215D4" w:rsidRPr="00374B12">
        <w:t xml:space="preserve"> </w:t>
      </w:r>
      <w:r w:rsidRPr="00374B12">
        <w:t>information on all</w:t>
      </w:r>
      <w:r w:rsidR="00F46228">
        <w:t xml:space="preserve"> </w:t>
      </w:r>
      <w:r w:rsidR="00DA0575">
        <w:t>BGC</w:t>
      </w:r>
      <w:r w:rsidRPr="00374B12">
        <w:t>A’s assets and liabilities, with the difference between the two reported as net assets</w:t>
      </w:r>
      <w:r w:rsidR="001215D4" w:rsidRPr="00374B12">
        <w:t xml:space="preserve"> for years ending December 31, </w:t>
      </w:r>
      <w:proofErr w:type="gramStart"/>
      <w:r w:rsidR="001215D4" w:rsidRPr="00374B12">
        <w:t>20</w:t>
      </w:r>
      <w:r w:rsidR="00C65364">
        <w:t>20</w:t>
      </w:r>
      <w:proofErr w:type="gramEnd"/>
      <w:r w:rsidR="001215D4" w:rsidRPr="00374B12">
        <w:t xml:space="preserve"> and 201</w:t>
      </w:r>
      <w:r w:rsidR="00C65364">
        <w:t>9</w:t>
      </w:r>
      <w:r w:rsidRPr="00374B12">
        <w:t xml:space="preserve">.  Over time, increases or decreases in net assets may serve as a useful indicator of whether the financial position of </w:t>
      </w:r>
      <w:r w:rsidR="00C65364">
        <w:t>BGC</w:t>
      </w:r>
      <w:r w:rsidRPr="00374B12">
        <w:t>A is improving or deteriorating.</w:t>
      </w:r>
    </w:p>
    <w:p w14:paraId="1ADC0804" w14:textId="77777777" w:rsidR="002B5B5C" w:rsidRPr="00374B12" w:rsidRDefault="002B5B5C" w:rsidP="00567B77">
      <w:pPr>
        <w:jc w:val="both"/>
      </w:pPr>
    </w:p>
    <w:p w14:paraId="062C30BD" w14:textId="7369153A" w:rsidR="002B5B5C" w:rsidRPr="00374B12" w:rsidRDefault="002B5B5C" w:rsidP="00567B77">
      <w:pPr>
        <w:jc w:val="both"/>
      </w:pPr>
      <w:r w:rsidRPr="00374B12">
        <w:rPr>
          <w:u w:val="single"/>
        </w:rPr>
        <w:t>Statements of Activities</w:t>
      </w:r>
      <w:r w:rsidRPr="00374B12">
        <w:t xml:space="preserve"> report information about </w:t>
      </w:r>
      <w:r w:rsidR="00C65364">
        <w:t>BGC</w:t>
      </w:r>
      <w:r w:rsidRPr="00374B12">
        <w:t>A as a whole and ab</w:t>
      </w:r>
      <w:r w:rsidR="00D748F7" w:rsidRPr="00374B12">
        <w:t xml:space="preserve">out its activities, including increases and decreases in </w:t>
      </w:r>
      <w:r w:rsidR="0008087E">
        <w:t>Net assets Without Donor Restrictions and With Donor Restrictions.</w:t>
      </w:r>
    </w:p>
    <w:p w14:paraId="6856675F" w14:textId="77777777" w:rsidR="00D748F7" w:rsidRPr="00374B12" w:rsidRDefault="00D748F7" w:rsidP="00567B77">
      <w:pPr>
        <w:jc w:val="both"/>
      </w:pPr>
    </w:p>
    <w:p w14:paraId="55C8A7DD" w14:textId="77777777" w:rsidR="00D748F7" w:rsidRPr="00374B12" w:rsidRDefault="00D748F7" w:rsidP="00567B77">
      <w:pPr>
        <w:jc w:val="both"/>
      </w:pPr>
      <w:r w:rsidRPr="00374B12">
        <w:rPr>
          <w:u w:val="single"/>
        </w:rPr>
        <w:t>Statements of Functional Expenses</w:t>
      </w:r>
      <w:r w:rsidR="00536A2C" w:rsidRPr="00374B12">
        <w:t xml:space="preserve"> breakout the expenses for </w:t>
      </w:r>
      <w:r w:rsidRPr="00374B12">
        <w:t xml:space="preserve">each </w:t>
      </w:r>
      <w:r w:rsidR="00536A2C" w:rsidRPr="00374B12">
        <w:t xml:space="preserve">activity or </w:t>
      </w:r>
      <w:r w:rsidRPr="00374B12">
        <w:t>service area into greater detail by function.</w:t>
      </w:r>
    </w:p>
    <w:p w14:paraId="0DDCA8E6" w14:textId="77777777" w:rsidR="00D748F7" w:rsidRPr="00374B12" w:rsidRDefault="00D748F7" w:rsidP="00567B77">
      <w:pPr>
        <w:jc w:val="both"/>
      </w:pPr>
    </w:p>
    <w:p w14:paraId="65482A56" w14:textId="77777777" w:rsidR="00D748F7" w:rsidRPr="00374B12" w:rsidRDefault="00D748F7" w:rsidP="00567B77">
      <w:pPr>
        <w:jc w:val="both"/>
      </w:pPr>
      <w:r w:rsidRPr="00374B12">
        <w:rPr>
          <w:u w:val="single"/>
        </w:rPr>
        <w:t>Statements of Cash Flows</w:t>
      </w:r>
      <w:r w:rsidRPr="00374B12">
        <w:t xml:space="preserve"> </w:t>
      </w:r>
      <w:r w:rsidR="00536A2C" w:rsidRPr="00374B12">
        <w:t xml:space="preserve">show how changes in financial position and activities affect cash and cash equivalents and break the analysis </w:t>
      </w:r>
      <w:r w:rsidR="002203F3" w:rsidRPr="00374B12">
        <w:t>in</w:t>
      </w:r>
      <w:r w:rsidR="00536A2C" w:rsidRPr="00374B12">
        <w:t>to operating, investing, and financing activities.  These statements are useful in determining the short-term viability of a company.</w:t>
      </w:r>
    </w:p>
    <w:p w14:paraId="1C8D1A95" w14:textId="77777777" w:rsidR="002172FF" w:rsidRPr="00374B12" w:rsidRDefault="002172FF" w:rsidP="00F41BFA">
      <w:pPr>
        <w:jc w:val="both"/>
      </w:pPr>
    </w:p>
    <w:p w14:paraId="6C418AD6" w14:textId="1106894B" w:rsidR="00A52DB3" w:rsidRPr="00374B12" w:rsidRDefault="005765AA" w:rsidP="00F41BFA">
      <w:pPr>
        <w:jc w:val="both"/>
      </w:pPr>
      <w:r w:rsidRPr="00374B12">
        <w:t xml:space="preserve">The </w:t>
      </w:r>
      <w:r w:rsidRPr="00374B12">
        <w:rPr>
          <w:u w:val="single"/>
        </w:rPr>
        <w:t>Notes to the Financial Statements</w:t>
      </w:r>
      <w:r w:rsidR="001F3351" w:rsidRPr="00374B12">
        <w:t xml:space="preserve"> beginning on page 10</w:t>
      </w:r>
      <w:r w:rsidRPr="00374B12">
        <w:t xml:space="preserve"> </w:t>
      </w:r>
      <w:r w:rsidR="002F3405">
        <w:t xml:space="preserve">of the report </w:t>
      </w:r>
      <w:r w:rsidR="00630573">
        <w:t>is</w:t>
      </w:r>
      <w:r w:rsidRPr="00374B12">
        <w:t xml:space="preserve"> an integral part of the financial </w:t>
      </w:r>
      <w:r w:rsidR="000D518C" w:rsidRPr="00374B12">
        <w:t>statements and are referred to throughout the Financial Statement Analysis that follows.</w:t>
      </w:r>
    </w:p>
    <w:p w14:paraId="2978233D" w14:textId="77777777" w:rsidR="005765AA" w:rsidRPr="00374B12" w:rsidRDefault="005765AA" w:rsidP="00F41BFA">
      <w:pPr>
        <w:jc w:val="both"/>
      </w:pPr>
    </w:p>
    <w:p w14:paraId="377EB64F" w14:textId="4FD61E38" w:rsidR="001E374F" w:rsidRDefault="000D518C" w:rsidP="00567B77">
      <w:pPr>
        <w:jc w:val="both"/>
      </w:pPr>
      <w:r w:rsidRPr="00374B12">
        <w:t xml:space="preserve">Supplementary information beginning on page </w:t>
      </w:r>
      <w:r w:rsidR="001F3351" w:rsidRPr="00374B12">
        <w:t>2</w:t>
      </w:r>
      <w:r w:rsidR="000C699A">
        <w:t>0</w:t>
      </w:r>
      <w:r w:rsidRPr="00374B12">
        <w:t xml:space="preserve"> </w:t>
      </w:r>
      <w:r w:rsidR="002F3405">
        <w:t>of the report</w:t>
      </w:r>
      <w:r w:rsidR="00241474">
        <w:t xml:space="preserve"> </w:t>
      </w:r>
      <w:r w:rsidR="00374B12" w:rsidRPr="00374B12">
        <w:t xml:space="preserve">is also presented </w:t>
      </w:r>
      <w:r w:rsidRPr="00374B12">
        <w:t>to inform the reader.</w:t>
      </w:r>
    </w:p>
    <w:p w14:paraId="6A787E60" w14:textId="77777777" w:rsidR="00736928" w:rsidRDefault="00736928" w:rsidP="00567B77">
      <w:pPr>
        <w:jc w:val="both"/>
        <w:rPr>
          <w:b/>
        </w:rPr>
      </w:pPr>
    </w:p>
    <w:p w14:paraId="623EE37E" w14:textId="77777777" w:rsidR="00A919A7" w:rsidRDefault="00A919A7" w:rsidP="00567B77">
      <w:pPr>
        <w:jc w:val="both"/>
        <w:rPr>
          <w:b/>
        </w:rPr>
      </w:pPr>
    </w:p>
    <w:p w14:paraId="1C332261" w14:textId="77777777" w:rsidR="00A919A7" w:rsidRDefault="00A919A7" w:rsidP="00567B77">
      <w:pPr>
        <w:jc w:val="both"/>
        <w:rPr>
          <w:b/>
        </w:rPr>
      </w:pPr>
    </w:p>
    <w:p w14:paraId="41F8335C" w14:textId="77777777" w:rsidR="00A919A7" w:rsidRDefault="00A919A7" w:rsidP="00567B77">
      <w:pPr>
        <w:jc w:val="both"/>
        <w:rPr>
          <w:b/>
        </w:rPr>
      </w:pPr>
    </w:p>
    <w:p w14:paraId="7CB132B3" w14:textId="77777777" w:rsidR="00A919A7" w:rsidRDefault="00A919A7" w:rsidP="00567B77">
      <w:pPr>
        <w:jc w:val="both"/>
        <w:rPr>
          <w:b/>
        </w:rPr>
      </w:pPr>
    </w:p>
    <w:p w14:paraId="69EC468A" w14:textId="77777777" w:rsidR="00A919A7" w:rsidRDefault="00A919A7" w:rsidP="00567B77">
      <w:pPr>
        <w:jc w:val="both"/>
        <w:rPr>
          <w:b/>
        </w:rPr>
      </w:pPr>
    </w:p>
    <w:p w14:paraId="477DE1E4" w14:textId="77777777" w:rsidR="00A919A7" w:rsidRDefault="00A919A7" w:rsidP="00567B77">
      <w:pPr>
        <w:jc w:val="both"/>
        <w:rPr>
          <w:b/>
        </w:rPr>
      </w:pPr>
    </w:p>
    <w:p w14:paraId="67F61593" w14:textId="77777777" w:rsidR="00A919A7" w:rsidRDefault="00A919A7" w:rsidP="00567B77">
      <w:pPr>
        <w:jc w:val="both"/>
        <w:rPr>
          <w:b/>
        </w:rPr>
      </w:pPr>
    </w:p>
    <w:p w14:paraId="1D1BB37B" w14:textId="77777777" w:rsidR="00A919A7" w:rsidRDefault="00A919A7" w:rsidP="00567B77">
      <w:pPr>
        <w:jc w:val="both"/>
        <w:rPr>
          <w:b/>
        </w:rPr>
      </w:pPr>
    </w:p>
    <w:p w14:paraId="738ACB11" w14:textId="77777777" w:rsidR="00A919A7" w:rsidRDefault="00A919A7" w:rsidP="00567B77">
      <w:pPr>
        <w:jc w:val="both"/>
        <w:rPr>
          <w:b/>
        </w:rPr>
      </w:pPr>
    </w:p>
    <w:p w14:paraId="61AF8D70" w14:textId="77777777" w:rsidR="00A919A7" w:rsidRDefault="00A919A7" w:rsidP="00567B77">
      <w:pPr>
        <w:jc w:val="both"/>
        <w:rPr>
          <w:b/>
        </w:rPr>
      </w:pPr>
    </w:p>
    <w:p w14:paraId="5D132DE0" w14:textId="77777777" w:rsidR="00A919A7" w:rsidRDefault="00A919A7" w:rsidP="00567B77">
      <w:pPr>
        <w:jc w:val="both"/>
        <w:rPr>
          <w:b/>
        </w:rPr>
      </w:pPr>
    </w:p>
    <w:p w14:paraId="30F282EF" w14:textId="77777777" w:rsidR="00A919A7" w:rsidRDefault="00A919A7" w:rsidP="00567B77">
      <w:pPr>
        <w:jc w:val="both"/>
        <w:rPr>
          <w:b/>
        </w:rPr>
      </w:pPr>
    </w:p>
    <w:p w14:paraId="2A5B4BFA" w14:textId="77777777" w:rsidR="00A919A7" w:rsidRDefault="00A919A7" w:rsidP="00567B77">
      <w:pPr>
        <w:jc w:val="both"/>
        <w:rPr>
          <w:b/>
        </w:rPr>
      </w:pPr>
    </w:p>
    <w:p w14:paraId="1FA266B8" w14:textId="0B7E78F6" w:rsidR="00536A2C" w:rsidRPr="00374B12" w:rsidRDefault="001E374F" w:rsidP="00567B77">
      <w:pPr>
        <w:jc w:val="both"/>
        <w:rPr>
          <w:b/>
        </w:rPr>
      </w:pPr>
      <w:r>
        <w:rPr>
          <w:b/>
        </w:rPr>
        <w:lastRenderedPageBreak/>
        <w:t>F</w:t>
      </w:r>
      <w:r w:rsidR="00536A2C" w:rsidRPr="00374B12">
        <w:rPr>
          <w:b/>
        </w:rPr>
        <w:t>inancial Statement Analysis</w:t>
      </w:r>
    </w:p>
    <w:p w14:paraId="344B5E96" w14:textId="77777777" w:rsidR="00536A2C" w:rsidRPr="00374B12" w:rsidRDefault="00536A2C" w:rsidP="00567B77">
      <w:pPr>
        <w:jc w:val="both"/>
      </w:pPr>
    </w:p>
    <w:p w14:paraId="48A7F07D" w14:textId="26E900FB" w:rsidR="00F95F95" w:rsidRDefault="000D1C9C" w:rsidP="00567B77">
      <w:pPr>
        <w:jc w:val="both"/>
        <w:rPr>
          <w:b/>
        </w:rPr>
      </w:pPr>
      <w:r w:rsidRPr="00374B12">
        <w:t xml:space="preserve">The </w:t>
      </w:r>
      <w:r w:rsidR="00536A2C" w:rsidRPr="00374B12">
        <w:rPr>
          <w:u w:val="single"/>
        </w:rPr>
        <w:t>Statements of Financial Position</w:t>
      </w:r>
      <w:r w:rsidR="00536A2C" w:rsidRPr="00374B12">
        <w:t xml:space="preserve"> found on page </w:t>
      </w:r>
      <w:r w:rsidR="000A323F" w:rsidRPr="00374B12">
        <w:t>4</w:t>
      </w:r>
      <w:r w:rsidR="00536A2C" w:rsidRPr="00374B12">
        <w:t xml:space="preserve"> of the report </w:t>
      </w:r>
      <w:r w:rsidR="006358C5" w:rsidRPr="00374B12">
        <w:t>provide</w:t>
      </w:r>
      <w:r w:rsidR="00F46228">
        <w:t>s</w:t>
      </w:r>
      <w:r w:rsidR="0092063D" w:rsidRPr="00374B12">
        <w:t xml:space="preserve"> </w:t>
      </w:r>
      <w:r w:rsidR="00A00C7D">
        <w:t xml:space="preserve">a comparison of balances </w:t>
      </w:r>
      <w:proofErr w:type="gramStart"/>
      <w:r w:rsidR="00A00C7D">
        <w:t>at</w:t>
      </w:r>
      <w:proofErr w:type="gramEnd"/>
      <w:r w:rsidR="00A00C7D">
        <w:t xml:space="preserve"> 20</w:t>
      </w:r>
      <w:r w:rsidR="00F85C14">
        <w:t>20</w:t>
      </w:r>
      <w:r w:rsidR="00F643A5" w:rsidRPr="00374B12">
        <w:t xml:space="preserve"> and 201</w:t>
      </w:r>
      <w:r w:rsidR="00F85C14">
        <w:t>9</w:t>
      </w:r>
      <w:r w:rsidR="0092063D" w:rsidRPr="00374B12">
        <w:t xml:space="preserve"> year end.  </w:t>
      </w:r>
      <w:r w:rsidR="006067EF" w:rsidRPr="00374B12">
        <w:t>Total a</w:t>
      </w:r>
      <w:r w:rsidR="00A06F1C" w:rsidRPr="00374B12">
        <w:t>sset</w:t>
      </w:r>
      <w:r w:rsidR="006067EF" w:rsidRPr="00374B12">
        <w:t>s comprised of c</w:t>
      </w:r>
      <w:r w:rsidRPr="00374B12">
        <w:t xml:space="preserve">urrent </w:t>
      </w:r>
      <w:r w:rsidR="006067EF" w:rsidRPr="00374B12">
        <w:t>a</w:t>
      </w:r>
      <w:r w:rsidRPr="00374B12">
        <w:t xml:space="preserve">ssets, </w:t>
      </w:r>
      <w:r w:rsidR="006067EF" w:rsidRPr="00374B12">
        <w:t>c</w:t>
      </w:r>
      <w:r w:rsidRPr="00374B12">
        <w:t xml:space="preserve">apital </w:t>
      </w:r>
      <w:r w:rsidR="006067EF" w:rsidRPr="00374B12">
        <w:t>a</w:t>
      </w:r>
      <w:r w:rsidRPr="00374B12">
        <w:t xml:space="preserve">ssets and </w:t>
      </w:r>
      <w:r w:rsidR="006067EF" w:rsidRPr="00374B12">
        <w:t>o</w:t>
      </w:r>
      <w:r w:rsidRPr="00374B12">
        <w:t xml:space="preserve">ther </w:t>
      </w:r>
      <w:r w:rsidR="006067EF" w:rsidRPr="00374B12">
        <w:t>a</w:t>
      </w:r>
      <w:r w:rsidRPr="00374B12">
        <w:t xml:space="preserve">ssets </w:t>
      </w:r>
      <w:r w:rsidR="000D7778">
        <w:t>in</w:t>
      </w:r>
      <w:r w:rsidRPr="00374B12">
        <w:t>creased by $</w:t>
      </w:r>
      <w:r w:rsidR="00C802BF">
        <w:t>550</w:t>
      </w:r>
      <w:r w:rsidR="00CA2DE5">
        <w:t>,</w:t>
      </w:r>
      <w:r w:rsidR="00C802BF">
        <w:t>457</w:t>
      </w:r>
      <w:r w:rsidRPr="00374B12">
        <w:t xml:space="preserve"> in 20</w:t>
      </w:r>
      <w:r w:rsidR="00C802BF">
        <w:t>20</w:t>
      </w:r>
      <w:r w:rsidRPr="00374B12">
        <w:t xml:space="preserve">. </w:t>
      </w:r>
      <w:r w:rsidR="001030EB" w:rsidRPr="00374B12">
        <w:t xml:space="preserve">The following chart illustrates </w:t>
      </w:r>
      <w:r w:rsidR="001030EB" w:rsidRPr="001D2210">
        <w:t xml:space="preserve">the </w:t>
      </w:r>
      <w:r w:rsidR="0016619C" w:rsidRPr="001D2210">
        <w:t>five-year</w:t>
      </w:r>
      <w:r w:rsidR="001030EB" w:rsidRPr="001D2210">
        <w:t xml:space="preserve"> trend</w:t>
      </w:r>
      <w:r w:rsidR="00F70093" w:rsidRPr="00374B12">
        <w:t xml:space="preserve"> of </w:t>
      </w:r>
      <w:r w:rsidR="001030EB" w:rsidRPr="00374B12">
        <w:t xml:space="preserve">Total Assets broken out by </w:t>
      </w:r>
      <w:r w:rsidR="006067EF" w:rsidRPr="00374B12">
        <w:t>group</w:t>
      </w:r>
      <w:r w:rsidR="00F70093" w:rsidRPr="00374B12">
        <w:t>:</w:t>
      </w:r>
    </w:p>
    <w:p w14:paraId="00F69E78" w14:textId="77777777" w:rsidR="00A919A7" w:rsidRDefault="00A919A7" w:rsidP="00567B77">
      <w:pPr>
        <w:jc w:val="both"/>
        <w:rPr>
          <w:b/>
        </w:rPr>
      </w:pPr>
    </w:p>
    <w:p w14:paraId="10146533" w14:textId="678C005B" w:rsidR="00453FAA" w:rsidRPr="00374B12" w:rsidRDefault="000D1C9C" w:rsidP="00567B77">
      <w:pPr>
        <w:jc w:val="both"/>
        <w:rPr>
          <w:b/>
        </w:rPr>
      </w:pPr>
      <w:r w:rsidRPr="00374B12">
        <w:rPr>
          <w:b/>
        </w:rPr>
        <w:t>Total Assets fo</w:t>
      </w:r>
      <w:r w:rsidR="0002651A" w:rsidRPr="00374B12">
        <w:rPr>
          <w:b/>
        </w:rPr>
        <w:t>r years ending December 31, 201</w:t>
      </w:r>
      <w:r w:rsidR="00C802BF">
        <w:rPr>
          <w:b/>
        </w:rPr>
        <w:t>6</w:t>
      </w:r>
      <w:r w:rsidR="00F643A5" w:rsidRPr="00374B12">
        <w:rPr>
          <w:b/>
        </w:rPr>
        <w:t xml:space="preserve"> –</w:t>
      </w:r>
      <w:r w:rsidRPr="00374B12">
        <w:rPr>
          <w:b/>
        </w:rPr>
        <w:t xml:space="preserve"> 20</w:t>
      </w:r>
      <w:r w:rsidR="00C802BF">
        <w:rPr>
          <w:b/>
        </w:rPr>
        <w:t>20</w:t>
      </w:r>
      <w:r w:rsidR="00F34A17" w:rsidRPr="00374B12">
        <w:rPr>
          <w:b/>
        </w:rPr>
        <w:t xml:space="preserve"> (in thousands)</w:t>
      </w:r>
    </w:p>
    <w:p w14:paraId="377211A0" w14:textId="406E3E7B" w:rsidR="00121141" w:rsidRDefault="00D37D13" w:rsidP="00567B77">
      <w:pPr>
        <w:jc w:val="both"/>
      </w:pPr>
      <w:r>
        <w:rPr>
          <w:noProof/>
        </w:rPr>
        <w:drawing>
          <wp:inline distT="0" distB="0" distL="0" distR="0" wp14:anchorId="605FD663" wp14:editId="78013638">
            <wp:extent cx="5244998" cy="2516429"/>
            <wp:effectExtent l="0" t="0" r="13335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A1E0DB2-73E1-4E7D-BA8B-7514A853A6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D0231C" w14:textId="77777777" w:rsidR="00121141" w:rsidRPr="00121141" w:rsidRDefault="00121141" w:rsidP="00121141"/>
    <w:p w14:paraId="0065B96B" w14:textId="67C85FB8" w:rsidR="00346CE4" w:rsidRPr="00374B12" w:rsidRDefault="00F643A5" w:rsidP="00567B77">
      <w:pPr>
        <w:jc w:val="both"/>
      </w:pPr>
      <w:r w:rsidRPr="00374B12">
        <w:t xml:space="preserve">Total </w:t>
      </w:r>
      <w:r w:rsidR="006067EF" w:rsidRPr="00374B12">
        <w:t>c</w:t>
      </w:r>
      <w:r w:rsidRPr="00374B12">
        <w:t xml:space="preserve">urrent </w:t>
      </w:r>
      <w:r w:rsidR="006067EF" w:rsidRPr="00374B12">
        <w:t>a</w:t>
      </w:r>
      <w:r w:rsidR="00CA2DE5">
        <w:t xml:space="preserve">ssets </w:t>
      </w:r>
      <w:r w:rsidR="000621B7">
        <w:t>in</w:t>
      </w:r>
      <w:r w:rsidR="00BB061E" w:rsidRPr="00374B12">
        <w:t xml:space="preserve">creased by </w:t>
      </w:r>
      <w:r w:rsidR="009D2C14" w:rsidRPr="00374B12">
        <w:t>$</w:t>
      </w:r>
      <w:r w:rsidR="00D9393E">
        <w:t>470</w:t>
      </w:r>
      <w:r w:rsidR="00121141">
        <w:t>,</w:t>
      </w:r>
      <w:r w:rsidR="00D9393E">
        <w:t>136</w:t>
      </w:r>
      <w:r w:rsidR="00D40C4F" w:rsidRPr="00374B12">
        <w:t xml:space="preserve">, net capital assets </w:t>
      </w:r>
      <w:r w:rsidR="000822AE">
        <w:t>in</w:t>
      </w:r>
      <w:r w:rsidR="00D40C4F" w:rsidRPr="00374B12">
        <w:t>creased by $</w:t>
      </w:r>
      <w:r w:rsidR="000822AE">
        <w:t>80</w:t>
      </w:r>
      <w:r w:rsidR="00CA2DE5">
        <w:t>,</w:t>
      </w:r>
      <w:r w:rsidR="00121141">
        <w:t>3</w:t>
      </w:r>
      <w:r w:rsidR="000822AE">
        <w:t>21</w:t>
      </w:r>
      <w:r w:rsidR="00D40C4F" w:rsidRPr="00374B12">
        <w:t xml:space="preserve">, and </w:t>
      </w:r>
      <w:r w:rsidR="00150802" w:rsidRPr="00374B12">
        <w:t xml:space="preserve">other assets </w:t>
      </w:r>
      <w:r w:rsidR="00CA2DE5">
        <w:t>remained the same.</w:t>
      </w:r>
    </w:p>
    <w:p w14:paraId="5986F0BF" w14:textId="77777777" w:rsidR="00346CE4" w:rsidRPr="00374B12" w:rsidRDefault="00346CE4" w:rsidP="00567B77">
      <w:pPr>
        <w:jc w:val="both"/>
      </w:pPr>
    </w:p>
    <w:p w14:paraId="027DDFE4" w14:textId="0EC12EE9" w:rsidR="00A86394" w:rsidRPr="00374B12" w:rsidRDefault="00346CE4" w:rsidP="00567B77">
      <w:pPr>
        <w:jc w:val="both"/>
      </w:pPr>
      <w:r w:rsidRPr="00374B12">
        <w:t>C</w:t>
      </w:r>
      <w:r w:rsidR="00BB061E" w:rsidRPr="00374B12">
        <w:t xml:space="preserve">ash and cash equivalents </w:t>
      </w:r>
      <w:r w:rsidR="00CA2DE5">
        <w:t xml:space="preserve">included in current assets </w:t>
      </w:r>
      <w:r w:rsidR="00FE5932">
        <w:t>in</w:t>
      </w:r>
      <w:r w:rsidRPr="00374B12">
        <w:t>creased by $</w:t>
      </w:r>
      <w:r w:rsidR="00121141">
        <w:t>4</w:t>
      </w:r>
      <w:r w:rsidR="006901E8">
        <w:t>52</w:t>
      </w:r>
      <w:r w:rsidR="00121141">
        <w:t>,</w:t>
      </w:r>
      <w:r w:rsidR="006901E8">
        <w:t>265</w:t>
      </w:r>
      <w:r w:rsidR="00CA2DE5">
        <w:t xml:space="preserve"> and</w:t>
      </w:r>
      <w:r w:rsidRPr="00374B12">
        <w:t xml:space="preserve"> i</w:t>
      </w:r>
      <w:r w:rsidR="00867C43" w:rsidRPr="00374B12">
        <w:t>s</w:t>
      </w:r>
      <w:r w:rsidR="0092063D" w:rsidRPr="00374B12">
        <w:t xml:space="preserve"> outlined in </w:t>
      </w:r>
      <w:r w:rsidR="000D1C9C" w:rsidRPr="00374B12">
        <w:t xml:space="preserve">the </w:t>
      </w:r>
      <w:r w:rsidR="0092063D" w:rsidRPr="00374B12">
        <w:rPr>
          <w:u w:val="single"/>
        </w:rPr>
        <w:t>Statements of Cash Flows</w:t>
      </w:r>
      <w:r w:rsidR="0092063D" w:rsidRPr="00374B12">
        <w:t xml:space="preserve"> found on page </w:t>
      </w:r>
      <w:r w:rsidR="00485917" w:rsidRPr="00374B12">
        <w:t>9</w:t>
      </w:r>
      <w:r w:rsidR="002F3405">
        <w:t xml:space="preserve"> of the report</w:t>
      </w:r>
      <w:r w:rsidR="000F1CD3" w:rsidRPr="00374B12">
        <w:t>.</w:t>
      </w:r>
      <w:r w:rsidR="0079254F" w:rsidRPr="00374B12">
        <w:t xml:space="preserve"> </w:t>
      </w:r>
      <w:r w:rsidR="000F1CD3" w:rsidRPr="00374B12">
        <w:t xml:space="preserve"> </w:t>
      </w:r>
      <w:r w:rsidR="006A7737">
        <w:t xml:space="preserve">The total </w:t>
      </w:r>
      <w:r w:rsidR="00B11677">
        <w:t>in</w:t>
      </w:r>
      <w:r w:rsidR="00B23298" w:rsidRPr="00374B12">
        <w:t xml:space="preserve">crease is the result of net </w:t>
      </w:r>
      <w:r w:rsidR="001841EF" w:rsidRPr="00374B12">
        <w:t xml:space="preserve">cash </w:t>
      </w:r>
      <w:r w:rsidR="00CA2DE5">
        <w:t>used</w:t>
      </w:r>
      <w:r w:rsidR="00150802" w:rsidRPr="00374B12">
        <w:t xml:space="preserve"> </w:t>
      </w:r>
      <w:r w:rsidR="00CA2DE5">
        <w:t>for</w:t>
      </w:r>
      <w:r w:rsidR="00150802" w:rsidRPr="00374B12">
        <w:t xml:space="preserve"> </w:t>
      </w:r>
      <w:r w:rsidR="00B23298" w:rsidRPr="00374B12">
        <w:t>operating activities of $</w:t>
      </w:r>
      <w:r w:rsidR="005662D7">
        <w:t>251</w:t>
      </w:r>
      <w:r w:rsidR="001841EF" w:rsidRPr="00374B12">
        <w:t>,</w:t>
      </w:r>
      <w:r w:rsidR="005662D7">
        <w:t>366,</w:t>
      </w:r>
      <w:r w:rsidR="00B23298" w:rsidRPr="00374B12">
        <w:t xml:space="preserve"> </w:t>
      </w:r>
      <w:r w:rsidR="007B4DB4">
        <w:t xml:space="preserve">a decrease in </w:t>
      </w:r>
      <w:r w:rsidR="00B23298" w:rsidRPr="00374B12">
        <w:t xml:space="preserve">net </w:t>
      </w:r>
      <w:r w:rsidR="001841EF" w:rsidRPr="00374B12">
        <w:t xml:space="preserve">cash </w:t>
      </w:r>
      <w:r w:rsidR="00CA2DE5">
        <w:t>provided</w:t>
      </w:r>
      <w:r w:rsidR="00150802" w:rsidRPr="00374B12">
        <w:t xml:space="preserve"> by </w:t>
      </w:r>
      <w:r w:rsidR="00B23298" w:rsidRPr="00374B12">
        <w:t>investing activities of $</w:t>
      </w:r>
      <w:r w:rsidR="00003D6D">
        <w:t>149,801</w:t>
      </w:r>
      <w:r w:rsidR="001841EF" w:rsidRPr="00374B12">
        <w:t xml:space="preserve">, and </w:t>
      </w:r>
      <w:r w:rsidR="00121141">
        <w:t>a</w:t>
      </w:r>
      <w:r w:rsidR="007B4DB4">
        <w:t>n</w:t>
      </w:r>
      <w:r w:rsidR="00121141">
        <w:t xml:space="preserve"> </w:t>
      </w:r>
      <w:r w:rsidR="007B4DB4">
        <w:t>in</w:t>
      </w:r>
      <w:r w:rsidR="00121141">
        <w:t xml:space="preserve">crease in the result of </w:t>
      </w:r>
      <w:r w:rsidR="001841EF" w:rsidRPr="00374B12">
        <w:t>net cash provided by financing activities of $</w:t>
      </w:r>
      <w:r w:rsidR="00D84E6B">
        <w:t>350</w:t>
      </w:r>
      <w:r w:rsidR="00121141">
        <w:t>,7</w:t>
      </w:r>
      <w:r w:rsidR="00D84E6B">
        <w:t>0</w:t>
      </w:r>
      <w:r w:rsidR="00121141">
        <w:t>0</w:t>
      </w:r>
      <w:r w:rsidR="00B23298" w:rsidRPr="00374B12">
        <w:t xml:space="preserve">. </w:t>
      </w:r>
    </w:p>
    <w:p w14:paraId="3202D76A" w14:textId="77777777" w:rsidR="003A61C8" w:rsidRPr="00374B12" w:rsidRDefault="003A61C8" w:rsidP="00567B77">
      <w:pPr>
        <w:jc w:val="both"/>
      </w:pPr>
    </w:p>
    <w:p w14:paraId="0F13CFE5" w14:textId="1CC1725B" w:rsidR="00CE3586" w:rsidRDefault="00556DD4" w:rsidP="00567B77">
      <w:pPr>
        <w:jc w:val="both"/>
      </w:pPr>
      <w:proofErr w:type="gramStart"/>
      <w:r w:rsidRPr="00374B12">
        <w:t>Grants</w:t>
      </w:r>
      <w:proofErr w:type="gramEnd"/>
      <w:r w:rsidRPr="00374B12">
        <w:t xml:space="preserve"> receivable </w:t>
      </w:r>
      <w:r w:rsidR="00D112DA">
        <w:t>has a balance of $0</w:t>
      </w:r>
      <w:r w:rsidR="001C6A99">
        <w:t xml:space="preserve"> in 20</w:t>
      </w:r>
      <w:r w:rsidR="00923E76">
        <w:t>20</w:t>
      </w:r>
      <w:r w:rsidR="001C6A99">
        <w:t xml:space="preserve"> </w:t>
      </w:r>
      <w:r w:rsidR="00D112DA">
        <w:t>due to all</w:t>
      </w:r>
      <w:r w:rsidR="000A4B01">
        <w:t xml:space="preserve"> grants being paid </w:t>
      </w:r>
      <w:r w:rsidR="00CE3586">
        <w:t xml:space="preserve">as of </w:t>
      </w:r>
      <w:r w:rsidR="00B305F5">
        <w:t>year-end</w:t>
      </w:r>
      <w:r w:rsidR="00CE3586">
        <w:t>.</w:t>
      </w:r>
    </w:p>
    <w:p w14:paraId="7D51868C" w14:textId="77777777" w:rsidR="00094CEF" w:rsidRPr="00374B12" w:rsidRDefault="00094CEF" w:rsidP="00567B77">
      <w:pPr>
        <w:jc w:val="both"/>
      </w:pPr>
    </w:p>
    <w:p w14:paraId="1EABA377" w14:textId="3F82055C" w:rsidR="00BF1522" w:rsidRDefault="00B23298" w:rsidP="00567B77">
      <w:pPr>
        <w:jc w:val="both"/>
      </w:pPr>
      <w:r w:rsidRPr="00374B12">
        <w:t>Other rece</w:t>
      </w:r>
      <w:r w:rsidR="00832BC9" w:rsidRPr="00374B12">
        <w:t xml:space="preserve">ivables </w:t>
      </w:r>
      <w:r w:rsidR="006D5D98">
        <w:t>in</w:t>
      </w:r>
      <w:r w:rsidR="00832BC9" w:rsidRPr="00374B12">
        <w:t>creased by $</w:t>
      </w:r>
      <w:r w:rsidR="00670CB2">
        <w:t>37</w:t>
      </w:r>
      <w:r w:rsidR="007C4E26">
        <w:t>,</w:t>
      </w:r>
      <w:r w:rsidR="00670CB2">
        <w:t>435</w:t>
      </w:r>
      <w:r w:rsidR="00094CEF" w:rsidRPr="00374B12">
        <w:t>.</w:t>
      </w:r>
      <w:r w:rsidR="00B4490A" w:rsidRPr="00374B12">
        <w:t xml:space="preserve">  </w:t>
      </w:r>
      <w:r w:rsidR="00B4490A" w:rsidRPr="009E3FA6">
        <w:t xml:space="preserve">At </w:t>
      </w:r>
      <w:r w:rsidR="0089198F" w:rsidRPr="009E3FA6">
        <w:t>year end</w:t>
      </w:r>
      <w:r w:rsidR="00B4490A" w:rsidRPr="009E3FA6">
        <w:t xml:space="preserve">, </w:t>
      </w:r>
      <w:r w:rsidR="00687483" w:rsidRPr="009E3FA6">
        <w:t>BGC</w:t>
      </w:r>
      <w:r w:rsidR="00B4490A" w:rsidRPr="009E3FA6">
        <w:t>A</w:t>
      </w:r>
      <w:r w:rsidR="000727CC" w:rsidRPr="009E3FA6">
        <w:t xml:space="preserve"> had receivables</w:t>
      </w:r>
      <w:r w:rsidR="008F0301" w:rsidRPr="009E3FA6">
        <w:t xml:space="preserve"> f</w:t>
      </w:r>
      <w:r w:rsidR="00F53CFD" w:rsidRPr="009E3FA6">
        <w:t>rom</w:t>
      </w:r>
      <w:r w:rsidR="000727CC" w:rsidRPr="009E3FA6">
        <w:t xml:space="preserve"> </w:t>
      </w:r>
      <w:r w:rsidR="00125F47">
        <w:t xml:space="preserve">various donors </w:t>
      </w:r>
      <w:r w:rsidR="002A7904">
        <w:t xml:space="preserve">who had not fulfilled their pledges as of </w:t>
      </w:r>
      <w:r w:rsidR="00F95F95">
        <w:t>year-end</w:t>
      </w:r>
      <w:r w:rsidR="002A7904">
        <w:t>.</w:t>
      </w:r>
      <w:r w:rsidR="000727CC" w:rsidRPr="00374B12">
        <w:t xml:space="preserve"> </w:t>
      </w:r>
    </w:p>
    <w:p w14:paraId="73E1BE26" w14:textId="77777777" w:rsidR="00016BCE" w:rsidRDefault="00016BCE" w:rsidP="00567B77">
      <w:pPr>
        <w:jc w:val="both"/>
      </w:pPr>
    </w:p>
    <w:p w14:paraId="584C60AF" w14:textId="5B039EB9" w:rsidR="00F55DB0" w:rsidRPr="00374B12" w:rsidRDefault="001821A7" w:rsidP="00567B77">
      <w:pPr>
        <w:jc w:val="both"/>
      </w:pPr>
      <w:r w:rsidRPr="00374B12">
        <w:t xml:space="preserve">Prepaid </w:t>
      </w:r>
      <w:r w:rsidRPr="00690202">
        <w:t>expenses</w:t>
      </w:r>
      <w:r w:rsidR="00F55DB0" w:rsidRPr="00690202">
        <w:t xml:space="preserve"> </w:t>
      </w:r>
      <w:r w:rsidR="00016BCE" w:rsidRPr="00690202">
        <w:t>in</w:t>
      </w:r>
      <w:r w:rsidR="00B05906" w:rsidRPr="00690202">
        <w:t>creased by $</w:t>
      </w:r>
      <w:r w:rsidR="006338C7" w:rsidRPr="00690202">
        <w:t>13</w:t>
      </w:r>
      <w:r w:rsidR="00950781" w:rsidRPr="00690202">
        <w:t>,</w:t>
      </w:r>
      <w:r w:rsidR="006338C7" w:rsidRPr="00690202">
        <w:t>666</w:t>
      </w:r>
      <w:r w:rsidR="00F55DB0" w:rsidRPr="00690202">
        <w:t>.</w:t>
      </w:r>
      <w:r w:rsidR="00C031E7" w:rsidRPr="00690202">
        <w:t xml:space="preserve"> At the end of </w:t>
      </w:r>
      <w:r w:rsidR="00D30D8F" w:rsidRPr="00690202">
        <w:t>20</w:t>
      </w:r>
      <w:r w:rsidR="00C96D94" w:rsidRPr="00690202">
        <w:t>20</w:t>
      </w:r>
      <w:r w:rsidR="00D30D8F" w:rsidRPr="00690202">
        <w:t xml:space="preserve">, </w:t>
      </w:r>
      <w:r w:rsidR="00446E67" w:rsidRPr="00690202">
        <w:t>BGC</w:t>
      </w:r>
      <w:r w:rsidR="00C031E7" w:rsidRPr="00690202">
        <w:t>A had prepaid empl</w:t>
      </w:r>
      <w:r w:rsidR="0057465B" w:rsidRPr="00690202">
        <w:t xml:space="preserve">oyee health premiums of </w:t>
      </w:r>
      <w:r w:rsidR="007211CC" w:rsidRPr="00690202">
        <w:t>$</w:t>
      </w:r>
      <w:r w:rsidR="00950781" w:rsidRPr="00690202">
        <w:t>1</w:t>
      </w:r>
      <w:r w:rsidR="00446E67" w:rsidRPr="00690202">
        <w:t>5</w:t>
      </w:r>
      <w:r w:rsidR="00950781" w:rsidRPr="00690202">
        <w:t>,</w:t>
      </w:r>
      <w:r w:rsidR="00446E67" w:rsidRPr="00690202">
        <w:t>627</w:t>
      </w:r>
      <w:r w:rsidR="005356C0" w:rsidRPr="00690202">
        <w:t xml:space="preserve"> </w:t>
      </w:r>
      <w:r w:rsidR="00E1729C" w:rsidRPr="00690202">
        <w:t xml:space="preserve">and </w:t>
      </w:r>
      <w:r w:rsidR="005356C0" w:rsidRPr="00690202">
        <w:t xml:space="preserve">other </w:t>
      </w:r>
      <w:r w:rsidR="00E1729C" w:rsidRPr="00690202">
        <w:t xml:space="preserve">prepaid expenses </w:t>
      </w:r>
      <w:r w:rsidR="005356C0" w:rsidRPr="00690202">
        <w:t xml:space="preserve">of </w:t>
      </w:r>
      <w:r w:rsidR="007211CC" w:rsidRPr="00690202">
        <w:t>$</w:t>
      </w:r>
      <w:r w:rsidR="00300BEE" w:rsidRPr="00690202">
        <w:t>11,949</w:t>
      </w:r>
      <w:r w:rsidR="00545132" w:rsidRPr="00690202">
        <w:t xml:space="preserve"> which include </w:t>
      </w:r>
      <w:r w:rsidR="00690202" w:rsidRPr="00690202">
        <w:t>credit card activity and an upcoming leadership training.</w:t>
      </w:r>
      <w:r w:rsidR="007211CC" w:rsidRPr="00690202">
        <w:t xml:space="preserve"> </w:t>
      </w:r>
    </w:p>
    <w:p w14:paraId="052604A7" w14:textId="77777777" w:rsidR="00D30D8F" w:rsidRPr="00374B12" w:rsidRDefault="00D30D8F" w:rsidP="00567B77">
      <w:pPr>
        <w:jc w:val="both"/>
      </w:pPr>
    </w:p>
    <w:p w14:paraId="1E8D1D70" w14:textId="2683D145" w:rsidR="009D1A06" w:rsidRPr="00374B12" w:rsidRDefault="009D1A06" w:rsidP="00567B77">
      <w:pPr>
        <w:jc w:val="both"/>
      </w:pPr>
      <w:r w:rsidRPr="00374B12">
        <w:t xml:space="preserve">A schedule of the </w:t>
      </w:r>
      <w:r w:rsidR="00873262" w:rsidRPr="00374B12">
        <w:t>property and equipment</w:t>
      </w:r>
      <w:r w:rsidR="003A61C8" w:rsidRPr="00374B12">
        <w:t>, net of accumulated depreciation</w:t>
      </w:r>
      <w:r w:rsidRPr="00374B12">
        <w:t xml:space="preserve"> is provided on page 1</w:t>
      </w:r>
      <w:r w:rsidR="003E1FF5">
        <w:t>3</w:t>
      </w:r>
      <w:r w:rsidR="00152FD1" w:rsidRPr="00374B12">
        <w:t xml:space="preserve"> </w:t>
      </w:r>
      <w:r w:rsidR="00241474">
        <w:t xml:space="preserve">of the report </w:t>
      </w:r>
      <w:r w:rsidR="00152FD1" w:rsidRPr="00374B12">
        <w:t xml:space="preserve">in Note </w:t>
      </w:r>
      <w:r w:rsidR="007211CC">
        <w:t>(</w:t>
      </w:r>
      <w:r w:rsidR="003E1FF5">
        <w:t>3</w:t>
      </w:r>
      <w:r w:rsidR="000C5834" w:rsidRPr="00374B12">
        <w:t>)</w:t>
      </w:r>
      <w:r w:rsidRPr="00374B12">
        <w:t xml:space="preserve"> </w:t>
      </w:r>
      <w:r w:rsidR="0000661F">
        <w:t xml:space="preserve">on page </w:t>
      </w:r>
      <w:r w:rsidR="00BA4ACF">
        <w:t>13 and</w:t>
      </w:r>
      <w:r w:rsidRPr="00374B12">
        <w:t xml:space="preserve"> </w:t>
      </w:r>
      <w:r w:rsidR="003A61C8" w:rsidRPr="00374B12">
        <w:t xml:space="preserve">shows </w:t>
      </w:r>
      <w:r w:rsidR="000C5834" w:rsidRPr="00374B12">
        <w:t>the change</w:t>
      </w:r>
      <w:r w:rsidR="00DA2715" w:rsidRPr="00374B12">
        <w:t xml:space="preserve"> of $</w:t>
      </w:r>
      <w:r w:rsidR="00FC2EE8">
        <w:t>80</w:t>
      </w:r>
      <w:r w:rsidR="007211CC">
        <w:t>,</w:t>
      </w:r>
      <w:r w:rsidR="00950781">
        <w:t>3</w:t>
      </w:r>
      <w:r w:rsidR="00FC2EE8">
        <w:t>21</w:t>
      </w:r>
      <w:r w:rsidR="000C5834" w:rsidRPr="00374B12">
        <w:t xml:space="preserve"> is due to 20</w:t>
      </w:r>
      <w:r w:rsidR="00FC2EE8">
        <w:t>20</w:t>
      </w:r>
      <w:r w:rsidR="00DA2715" w:rsidRPr="00374B12">
        <w:t xml:space="preserve"> depreciation of $</w:t>
      </w:r>
      <w:r w:rsidR="005863E0">
        <w:t>69</w:t>
      </w:r>
      <w:r w:rsidR="007211CC">
        <w:t>,</w:t>
      </w:r>
      <w:r w:rsidR="00950781">
        <w:t>4</w:t>
      </w:r>
      <w:r w:rsidR="005863E0">
        <w:t>80</w:t>
      </w:r>
      <w:r w:rsidR="00094F6C">
        <w:t>; Building &amp; improvements</w:t>
      </w:r>
      <w:r w:rsidR="00074659">
        <w:t xml:space="preserve"> increase of $100,175 and Furniture &amp; equipment</w:t>
      </w:r>
      <w:r w:rsidR="00C15171">
        <w:t xml:space="preserve"> decrease of $76,373</w:t>
      </w:r>
      <w:r w:rsidR="007211CC">
        <w:t xml:space="preserve">. </w:t>
      </w:r>
      <w:r w:rsidR="002A64E8">
        <w:t>BGC</w:t>
      </w:r>
      <w:r w:rsidR="00061DE9" w:rsidRPr="00374B12">
        <w:t xml:space="preserve">A’s </w:t>
      </w:r>
      <w:r w:rsidRPr="00374B12">
        <w:t>cap</w:t>
      </w:r>
      <w:r w:rsidR="000A4149" w:rsidRPr="00374B12">
        <w:t>italiz</w:t>
      </w:r>
      <w:r w:rsidR="00061DE9" w:rsidRPr="00374B12">
        <w:t>ation policy is outlined</w:t>
      </w:r>
      <w:r w:rsidR="00BB061E" w:rsidRPr="00374B12">
        <w:t xml:space="preserve"> in Note </w:t>
      </w:r>
      <w:r w:rsidR="000D6B65" w:rsidRPr="00374B12">
        <w:t>(</w:t>
      </w:r>
      <w:r w:rsidR="00BB061E" w:rsidRPr="00374B12">
        <w:t>1</w:t>
      </w:r>
      <w:r w:rsidR="000D6B65" w:rsidRPr="00374B12">
        <w:t xml:space="preserve">) F. </w:t>
      </w:r>
      <w:r w:rsidR="00BB061E" w:rsidRPr="00374B12">
        <w:t>on page 1</w:t>
      </w:r>
      <w:r w:rsidR="000D6B65" w:rsidRPr="00374B12">
        <w:t>1</w:t>
      </w:r>
      <w:r w:rsidR="002F3405">
        <w:t xml:space="preserve"> of the report</w:t>
      </w:r>
      <w:r w:rsidR="00BB061E" w:rsidRPr="00374B12">
        <w:t>.</w:t>
      </w:r>
      <w:r w:rsidR="00DA2715" w:rsidRPr="00374B12">
        <w:t xml:space="preserve">  </w:t>
      </w:r>
    </w:p>
    <w:p w14:paraId="26AF0FF4" w14:textId="77777777" w:rsidR="00F34A17" w:rsidRPr="00374B12" w:rsidRDefault="00F34A17" w:rsidP="00567B77">
      <w:pPr>
        <w:jc w:val="both"/>
        <w:rPr>
          <w:highlight w:val="yellow"/>
        </w:rPr>
      </w:pPr>
    </w:p>
    <w:p w14:paraId="2503DB4F" w14:textId="0628B695" w:rsidR="00D651E1" w:rsidRPr="00374B12" w:rsidRDefault="00D651E1" w:rsidP="00567B77">
      <w:pPr>
        <w:jc w:val="both"/>
      </w:pPr>
      <w:r w:rsidRPr="00374B12">
        <w:t xml:space="preserve">Other </w:t>
      </w:r>
      <w:r w:rsidR="006067EF" w:rsidRPr="00374B12">
        <w:t>a</w:t>
      </w:r>
      <w:r w:rsidRPr="00374B12">
        <w:t>ssets</w:t>
      </w:r>
      <w:r w:rsidR="00BB061E" w:rsidRPr="00374B12">
        <w:t xml:space="preserve"> </w:t>
      </w:r>
      <w:r w:rsidR="00B87BA0">
        <w:t>remain</w:t>
      </w:r>
      <w:r w:rsidR="005508CB">
        <w:t>ed</w:t>
      </w:r>
      <w:r w:rsidR="00B87BA0">
        <w:t xml:space="preserve"> the same from 20</w:t>
      </w:r>
      <w:r w:rsidR="00C036CA">
        <w:t>1</w:t>
      </w:r>
      <w:r w:rsidR="005508CB">
        <w:t>9</w:t>
      </w:r>
      <w:r w:rsidR="00950781">
        <w:t xml:space="preserve"> </w:t>
      </w:r>
      <w:r w:rsidR="00B87BA0">
        <w:t>to 20</w:t>
      </w:r>
      <w:r w:rsidR="005508CB">
        <w:t>20</w:t>
      </w:r>
      <w:r w:rsidR="00B87BA0">
        <w:t xml:space="preserve">. </w:t>
      </w:r>
    </w:p>
    <w:p w14:paraId="626BC011" w14:textId="77777777" w:rsidR="00A8763A" w:rsidRDefault="00A8763A" w:rsidP="00D426CF">
      <w:pPr>
        <w:jc w:val="both"/>
      </w:pPr>
    </w:p>
    <w:p w14:paraId="21ABF48B" w14:textId="77777777" w:rsidR="00A8763A" w:rsidRDefault="006067EF" w:rsidP="00567B77">
      <w:pPr>
        <w:jc w:val="both"/>
      </w:pPr>
      <w:r w:rsidRPr="00374B12">
        <w:t>Total l</w:t>
      </w:r>
      <w:r w:rsidR="00871434" w:rsidRPr="00374B12">
        <w:t>iabilities</w:t>
      </w:r>
      <w:r w:rsidR="005462A3" w:rsidRPr="00374B12">
        <w:t xml:space="preserve"> and </w:t>
      </w:r>
      <w:r w:rsidRPr="00374B12">
        <w:t>n</w:t>
      </w:r>
      <w:r w:rsidR="003A61C8" w:rsidRPr="00374B12">
        <w:t xml:space="preserve">et </w:t>
      </w:r>
      <w:r w:rsidRPr="00374B12">
        <w:t>a</w:t>
      </w:r>
      <w:r w:rsidR="003A61C8" w:rsidRPr="00374B12">
        <w:t xml:space="preserve">ssets </w:t>
      </w:r>
      <w:r w:rsidR="00B55327">
        <w:t>in</w:t>
      </w:r>
      <w:r w:rsidR="003A61C8" w:rsidRPr="00374B12">
        <w:t>creased by $</w:t>
      </w:r>
      <w:r w:rsidR="00C31B11">
        <w:t>550</w:t>
      </w:r>
      <w:r w:rsidR="00DD0C9F">
        <w:t>,</w:t>
      </w:r>
      <w:r w:rsidR="00C31B11">
        <w:t>457</w:t>
      </w:r>
      <w:r w:rsidR="005462A3" w:rsidRPr="00374B12">
        <w:t>.  The following chart illu</w:t>
      </w:r>
      <w:r w:rsidRPr="00374B12">
        <w:t xml:space="preserve">strates the </w:t>
      </w:r>
      <w:r w:rsidR="00F95F95" w:rsidRPr="00374B12">
        <w:t>five-year</w:t>
      </w:r>
      <w:r w:rsidRPr="00374B12">
        <w:t xml:space="preserve"> trend of total liabilities and n</w:t>
      </w:r>
      <w:r w:rsidR="005462A3" w:rsidRPr="00374B12">
        <w:t xml:space="preserve">et </w:t>
      </w:r>
      <w:r w:rsidRPr="00374B12">
        <w:t>a</w:t>
      </w:r>
      <w:r w:rsidR="00F70093" w:rsidRPr="00374B12">
        <w:t>ssets</w:t>
      </w:r>
      <w:r w:rsidR="005462A3" w:rsidRPr="00374B12">
        <w:t>:</w:t>
      </w:r>
    </w:p>
    <w:p w14:paraId="604AB6F7" w14:textId="302F4D0F" w:rsidR="00DD0C9F" w:rsidRPr="00A8763A" w:rsidRDefault="005462A3" w:rsidP="00567B77">
      <w:pPr>
        <w:jc w:val="both"/>
      </w:pPr>
      <w:r w:rsidRPr="00374B12">
        <w:rPr>
          <w:b/>
        </w:rPr>
        <w:lastRenderedPageBreak/>
        <w:t>Total Liabilities f</w:t>
      </w:r>
      <w:r w:rsidR="00637260" w:rsidRPr="00374B12">
        <w:rPr>
          <w:b/>
        </w:rPr>
        <w:t>o</w:t>
      </w:r>
      <w:r w:rsidR="009D6021" w:rsidRPr="00374B12">
        <w:rPr>
          <w:b/>
        </w:rPr>
        <w:t>r years ending December 31, 201</w:t>
      </w:r>
      <w:r w:rsidR="005D712F">
        <w:rPr>
          <w:b/>
        </w:rPr>
        <w:t>6</w:t>
      </w:r>
      <w:r w:rsidR="009D5D54" w:rsidRPr="00374B12">
        <w:rPr>
          <w:b/>
        </w:rPr>
        <w:t>-</w:t>
      </w:r>
      <w:r w:rsidRPr="00374B12">
        <w:rPr>
          <w:b/>
        </w:rPr>
        <w:t xml:space="preserve"> 20</w:t>
      </w:r>
      <w:r w:rsidR="005D712F">
        <w:rPr>
          <w:b/>
        </w:rPr>
        <w:t>20</w:t>
      </w:r>
      <w:r w:rsidRPr="00374B12">
        <w:rPr>
          <w:b/>
        </w:rPr>
        <w:t xml:space="preserve"> (in thousands)</w:t>
      </w:r>
    </w:p>
    <w:p w14:paraId="098CD12E" w14:textId="2357CB9F" w:rsidR="00DD0C9F" w:rsidRDefault="005D712F" w:rsidP="00567B77">
      <w:pPr>
        <w:jc w:val="both"/>
        <w:rPr>
          <w:b/>
        </w:rPr>
      </w:pPr>
      <w:r>
        <w:rPr>
          <w:noProof/>
        </w:rPr>
        <w:drawing>
          <wp:inline distT="0" distB="0" distL="0" distR="0" wp14:anchorId="7A2B4D94" wp14:editId="4721CFBF">
            <wp:extent cx="5892800" cy="2787650"/>
            <wp:effectExtent l="0" t="0" r="1270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DC0B7C2-7B69-417C-87C6-10541AD99E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FF97B2F" w14:textId="2AB412C9" w:rsidR="00DD0C9F" w:rsidRDefault="00DD0C9F" w:rsidP="00567B77">
      <w:pPr>
        <w:jc w:val="both"/>
        <w:rPr>
          <w:b/>
        </w:rPr>
      </w:pPr>
    </w:p>
    <w:p w14:paraId="0453B6BB" w14:textId="7A94CE0D" w:rsidR="002F5AAA" w:rsidRPr="00374B12" w:rsidRDefault="0089519A" w:rsidP="00567B77">
      <w:pPr>
        <w:jc w:val="both"/>
      </w:pPr>
      <w:r>
        <w:t xml:space="preserve">Total Liabilities </w:t>
      </w:r>
      <w:r w:rsidR="00ED4C35">
        <w:t>in</w:t>
      </w:r>
      <w:r w:rsidR="002F5AAA" w:rsidRPr="00374B12">
        <w:t>creased by $</w:t>
      </w:r>
      <w:r w:rsidR="00B366C1">
        <w:t>393</w:t>
      </w:r>
      <w:r w:rsidR="00DD0C9F">
        <w:t>,</w:t>
      </w:r>
      <w:r w:rsidR="00B366C1">
        <w:t>985</w:t>
      </w:r>
      <w:r w:rsidR="002F5AAA" w:rsidRPr="00374B12">
        <w:t>.</w:t>
      </w:r>
    </w:p>
    <w:p w14:paraId="1A95CEA5" w14:textId="77777777" w:rsidR="002F5AAA" w:rsidRPr="00374B12" w:rsidRDefault="002F5AAA" w:rsidP="00567B77">
      <w:pPr>
        <w:jc w:val="both"/>
      </w:pPr>
    </w:p>
    <w:p w14:paraId="77691BF4" w14:textId="1EB8093D" w:rsidR="00361C71" w:rsidRDefault="00663F54" w:rsidP="00567B77">
      <w:pPr>
        <w:jc w:val="both"/>
      </w:pPr>
      <w:r w:rsidRPr="00374B12">
        <w:t>Current L</w:t>
      </w:r>
      <w:r w:rsidR="0035693F">
        <w:t xml:space="preserve">iabilities </w:t>
      </w:r>
      <w:r w:rsidR="00A80FA2">
        <w:t>in</w:t>
      </w:r>
      <w:r w:rsidR="0083747C" w:rsidRPr="00374B12">
        <w:t>creased by $</w:t>
      </w:r>
      <w:r w:rsidR="006C389B">
        <w:t>246,382</w:t>
      </w:r>
      <w:r w:rsidR="00E03AEB" w:rsidRPr="0035693F">
        <w:t xml:space="preserve">. </w:t>
      </w:r>
      <w:r w:rsidR="008B4015" w:rsidRPr="0035693F">
        <w:t>This is comprised of a</w:t>
      </w:r>
      <w:r w:rsidR="006E31C9">
        <w:t>n</w:t>
      </w:r>
      <w:r w:rsidR="00690B0E" w:rsidRPr="0035693F">
        <w:t xml:space="preserve"> </w:t>
      </w:r>
      <w:r w:rsidR="00140E04">
        <w:t>in</w:t>
      </w:r>
      <w:r w:rsidR="00E03AEB" w:rsidRPr="0035693F">
        <w:t xml:space="preserve">crease </w:t>
      </w:r>
      <w:r w:rsidR="001701F3" w:rsidRPr="0035693F">
        <w:t>of $</w:t>
      </w:r>
      <w:r w:rsidR="00FA7EF5">
        <w:t>35</w:t>
      </w:r>
      <w:r w:rsidR="0089519A" w:rsidRPr="0035693F">
        <w:t>,</w:t>
      </w:r>
      <w:r w:rsidR="00FA7EF5">
        <w:t>402</w:t>
      </w:r>
      <w:r w:rsidR="001701F3" w:rsidRPr="0035693F">
        <w:t xml:space="preserve"> </w:t>
      </w:r>
      <w:r w:rsidR="00871434" w:rsidRPr="0035693F">
        <w:t xml:space="preserve">in </w:t>
      </w:r>
      <w:r w:rsidR="006067EF" w:rsidRPr="0035693F">
        <w:t>a</w:t>
      </w:r>
      <w:r w:rsidR="00871434" w:rsidRPr="0035693F">
        <w:t xml:space="preserve">ccounts </w:t>
      </w:r>
      <w:r w:rsidR="00E35CA4">
        <w:t xml:space="preserve">&amp; payroll </w:t>
      </w:r>
      <w:r w:rsidR="003C3C66">
        <w:t xml:space="preserve">withholdings </w:t>
      </w:r>
      <w:r w:rsidR="006067EF" w:rsidRPr="0035693F">
        <w:t>p</w:t>
      </w:r>
      <w:r w:rsidR="00871434" w:rsidRPr="0035693F">
        <w:t>ayable</w:t>
      </w:r>
      <w:r w:rsidR="00CA1982" w:rsidRPr="0035693F">
        <w:t>,</w:t>
      </w:r>
      <w:r w:rsidR="00953211" w:rsidRPr="0035693F">
        <w:t xml:space="preserve"> </w:t>
      </w:r>
      <w:r w:rsidR="001449F6" w:rsidRPr="0035693F">
        <w:t>a</w:t>
      </w:r>
      <w:r w:rsidR="001C1845" w:rsidRPr="0035693F">
        <w:t>n</w:t>
      </w:r>
      <w:r w:rsidR="001449F6" w:rsidRPr="0035693F">
        <w:t xml:space="preserve"> </w:t>
      </w:r>
      <w:r w:rsidR="00970938" w:rsidRPr="0035693F">
        <w:t>in</w:t>
      </w:r>
      <w:r w:rsidR="001449F6" w:rsidRPr="0035693F">
        <w:t xml:space="preserve">crease in </w:t>
      </w:r>
      <w:r w:rsidR="00CD09B8">
        <w:t>Scholarships payable of $</w:t>
      </w:r>
      <w:r w:rsidR="000478E3">
        <w:t xml:space="preserve">8,883, </w:t>
      </w:r>
      <w:r w:rsidR="00690B0E" w:rsidRPr="0035693F">
        <w:t>a</w:t>
      </w:r>
      <w:r w:rsidR="00D15A2C">
        <w:t xml:space="preserve"> de</w:t>
      </w:r>
      <w:r w:rsidR="006B654D" w:rsidRPr="0035693F">
        <w:t xml:space="preserve">crease in </w:t>
      </w:r>
      <w:r w:rsidR="00690B0E" w:rsidRPr="0035693F">
        <w:t>deferr</w:t>
      </w:r>
      <w:r w:rsidR="006B654D" w:rsidRPr="0035693F">
        <w:t>ed</w:t>
      </w:r>
      <w:r w:rsidR="00690B0E" w:rsidRPr="0035693F">
        <w:t xml:space="preserve"> revenue of $</w:t>
      </w:r>
      <w:r w:rsidR="00D15A2C">
        <w:t>1</w:t>
      </w:r>
      <w:r w:rsidR="00A44081">
        <w:t>,</w:t>
      </w:r>
      <w:r w:rsidR="00D15A2C">
        <w:t>000</w:t>
      </w:r>
      <w:r w:rsidR="00CA1982" w:rsidRPr="0035693F">
        <w:t xml:space="preserve">, </w:t>
      </w:r>
      <w:r w:rsidR="00A44081">
        <w:t xml:space="preserve">a decrease in </w:t>
      </w:r>
      <w:r w:rsidR="00C0535D">
        <w:t xml:space="preserve">Line of credit of </w:t>
      </w:r>
      <w:r w:rsidR="00A44081">
        <w:t>$4</w:t>
      </w:r>
      <w:r w:rsidR="00C0535D">
        <w:t>,</w:t>
      </w:r>
      <w:r w:rsidR="00C9291D">
        <w:t>5</w:t>
      </w:r>
      <w:r w:rsidR="00C0535D">
        <w:t>00</w:t>
      </w:r>
      <w:r w:rsidR="00A44081">
        <w:t xml:space="preserve"> </w:t>
      </w:r>
      <w:r w:rsidR="00CA1982" w:rsidRPr="0035693F">
        <w:t xml:space="preserve">and an </w:t>
      </w:r>
      <w:r w:rsidR="00970938" w:rsidRPr="0035693F">
        <w:t xml:space="preserve">increase in the </w:t>
      </w:r>
      <w:r w:rsidR="00CA1982" w:rsidRPr="0035693F">
        <w:t>current maturities of long-term debt of $</w:t>
      </w:r>
      <w:r w:rsidR="00361C71">
        <w:t>207,597</w:t>
      </w:r>
      <w:r w:rsidR="009D2DBA" w:rsidRPr="00AD4CA4">
        <w:t>.</w:t>
      </w:r>
      <w:r w:rsidR="007122A1" w:rsidRPr="00AD4CA4">
        <w:t xml:space="preserve"> </w:t>
      </w:r>
      <w:r w:rsidR="002E7B73">
        <w:t>BGCA acquired</w:t>
      </w:r>
      <w:r w:rsidR="00E14335">
        <w:t xml:space="preserve"> a PPP loan</w:t>
      </w:r>
      <w:r w:rsidR="002E7B73">
        <w:t xml:space="preserve"> </w:t>
      </w:r>
      <w:r w:rsidR="00E34381">
        <w:t xml:space="preserve">during 2020. Details of the Notes Payable can be found in </w:t>
      </w:r>
      <w:r w:rsidR="00480CBC">
        <w:t>Note (6)</w:t>
      </w:r>
      <w:r w:rsidR="00444023">
        <w:t xml:space="preserve"> on page 14 of the report.</w:t>
      </w:r>
    </w:p>
    <w:p w14:paraId="33ABCE1C" w14:textId="77777777" w:rsidR="0076722C" w:rsidRPr="00374B12" w:rsidRDefault="0076722C" w:rsidP="00567B77">
      <w:pPr>
        <w:jc w:val="both"/>
      </w:pPr>
    </w:p>
    <w:p w14:paraId="610ED0ED" w14:textId="47EBF11F" w:rsidR="0076722C" w:rsidRPr="00374B12" w:rsidRDefault="0076722C" w:rsidP="00567B77">
      <w:pPr>
        <w:jc w:val="both"/>
      </w:pPr>
      <w:r w:rsidRPr="00374B12">
        <w:t xml:space="preserve">Noncurrent Liabilities at </w:t>
      </w:r>
      <w:r w:rsidR="00AD4CA4">
        <w:t>year-end</w:t>
      </w:r>
      <w:r w:rsidRPr="00374B12">
        <w:t xml:space="preserve"> total </w:t>
      </w:r>
      <w:r w:rsidR="00AD4CA4">
        <w:t>$1</w:t>
      </w:r>
      <w:r w:rsidR="00EB6E37">
        <w:t>47</w:t>
      </w:r>
      <w:r w:rsidR="000A72F1">
        <w:t>,60</w:t>
      </w:r>
      <w:r w:rsidR="00EB6E37">
        <w:t>3</w:t>
      </w:r>
      <w:r w:rsidR="00AD4CA4">
        <w:t xml:space="preserve"> in 20</w:t>
      </w:r>
      <w:r w:rsidR="00EB6E37">
        <w:t>20</w:t>
      </w:r>
      <w:r w:rsidRPr="00374B12">
        <w:t>.</w:t>
      </w:r>
      <w:r w:rsidR="002F5AAA" w:rsidRPr="00374B12">
        <w:t xml:space="preserve">  The details of the long-term debt </w:t>
      </w:r>
      <w:r w:rsidR="00AC2FC1">
        <w:t xml:space="preserve">can be </w:t>
      </w:r>
      <w:r w:rsidR="004719D3">
        <w:t>found in Note (</w:t>
      </w:r>
      <w:r w:rsidR="00AC2FC1">
        <w:t>7</w:t>
      </w:r>
      <w:r w:rsidR="002F5AAA" w:rsidRPr="00374B12">
        <w:t>) on page 1</w:t>
      </w:r>
      <w:r w:rsidR="00894064">
        <w:t>4</w:t>
      </w:r>
      <w:r w:rsidR="00241474">
        <w:t xml:space="preserve"> of the report</w:t>
      </w:r>
      <w:r w:rsidR="002F5AAA" w:rsidRPr="00374B12">
        <w:t xml:space="preserve">.  </w:t>
      </w:r>
    </w:p>
    <w:p w14:paraId="10720AA3" w14:textId="77777777" w:rsidR="00D426CF" w:rsidRPr="00374B12" w:rsidRDefault="00D426CF" w:rsidP="00D426CF">
      <w:pPr>
        <w:jc w:val="both"/>
      </w:pPr>
    </w:p>
    <w:p w14:paraId="020ED055" w14:textId="067AAC7C" w:rsidR="00871434" w:rsidRDefault="00B26EA7" w:rsidP="00567B77">
      <w:pPr>
        <w:jc w:val="both"/>
      </w:pPr>
      <w:r w:rsidRPr="00374B12">
        <w:t xml:space="preserve">Overall </w:t>
      </w:r>
      <w:r w:rsidR="006407D7" w:rsidRPr="00374B12">
        <w:t>n</w:t>
      </w:r>
      <w:r w:rsidRPr="00374B12">
        <w:t xml:space="preserve">et </w:t>
      </w:r>
      <w:r w:rsidR="006407D7" w:rsidRPr="00374B12">
        <w:t>a</w:t>
      </w:r>
      <w:r w:rsidRPr="00374B12">
        <w:t xml:space="preserve">ssets </w:t>
      </w:r>
      <w:r w:rsidR="00EE4B5F">
        <w:t>in</w:t>
      </w:r>
      <w:r w:rsidRPr="00374B12">
        <w:t>creased by $</w:t>
      </w:r>
      <w:r w:rsidR="00032AE0">
        <w:t>156</w:t>
      </w:r>
      <w:r w:rsidR="000A72F1">
        <w:t>,</w:t>
      </w:r>
      <w:r w:rsidR="00032AE0">
        <w:t>472</w:t>
      </w:r>
      <w:r w:rsidR="00AD6256" w:rsidRPr="00374B12">
        <w:t xml:space="preserve"> or </w:t>
      </w:r>
      <w:r w:rsidR="004C1FFE">
        <w:t>12</w:t>
      </w:r>
      <w:r w:rsidR="00AD6256" w:rsidRPr="00374B12">
        <w:t xml:space="preserve">%, which represents the excess of </w:t>
      </w:r>
      <w:r w:rsidR="006565F9" w:rsidRPr="00374B12">
        <w:t>expenses</w:t>
      </w:r>
      <w:r w:rsidR="006407D7" w:rsidRPr="00374B12">
        <w:t xml:space="preserve"> over </w:t>
      </w:r>
      <w:r w:rsidR="006565F9" w:rsidRPr="00374B12">
        <w:t>revenue</w:t>
      </w:r>
      <w:r w:rsidR="006407D7" w:rsidRPr="00374B12">
        <w:t xml:space="preserve"> </w:t>
      </w:r>
      <w:r w:rsidR="00AD6256" w:rsidRPr="00374B12">
        <w:t xml:space="preserve">on the </w:t>
      </w:r>
      <w:r w:rsidR="00AD6256" w:rsidRPr="000532A0">
        <w:rPr>
          <w:u w:val="single"/>
        </w:rPr>
        <w:t>Statements of Activities</w:t>
      </w:r>
      <w:r w:rsidR="00AD6256" w:rsidRPr="000532A0">
        <w:t xml:space="preserve"> for 20</w:t>
      </w:r>
      <w:r w:rsidR="00F018ED">
        <w:t>20</w:t>
      </w:r>
      <w:r w:rsidR="00AD6256" w:rsidRPr="000532A0">
        <w:t xml:space="preserve"> on page </w:t>
      </w:r>
      <w:r w:rsidR="006B654D" w:rsidRPr="000532A0">
        <w:t>5</w:t>
      </w:r>
      <w:r w:rsidR="00241474" w:rsidRPr="000532A0">
        <w:t xml:space="preserve"> of the report</w:t>
      </w:r>
      <w:r w:rsidR="00AD6256" w:rsidRPr="000532A0">
        <w:t xml:space="preserve">.  </w:t>
      </w:r>
      <w:r w:rsidR="004719D3" w:rsidRPr="000532A0">
        <w:t xml:space="preserve">Net Assets are presented both with and without donor </w:t>
      </w:r>
      <w:r w:rsidR="00BD50C5" w:rsidRPr="000532A0">
        <w:t>restrict</w:t>
      </w:r>
      <w:r w:rsidR="004719D3" w:rsidRPr="000532A0">
        <w:t>ions</w:t>
      </w:r>
      <w:r w:rsidR="00BD50C5" w:rsidRPr="000D2321">
        <w:t xml:space="preserve">.  </w:t>
      </w:r>
      <w:r w:rsidR="004719D3" w:rsidRPr="000D2321">
        <w:t>N</w:t>
      </w:r>
      <w:r w:rsidR="00AD6256" w:rsidRPr="000D2321">
        <w:t>et assets</w:t>
      </w:r>
      <w:r w:rsidR="004719D3" w:rsidRPr="000D2321">
        <w:t xml:space="preserve"> without donor restrictions</w:t>
      </w:r>
      <w:r w:rsidR="00AD6256" w:rsidRPr="000D2321">
        <w:t xml:space="preserve">, </w:t>
      </w:r>
      <w:r w:rsidR="005C761E" w:rsidRPr="000D2321">
        <w:t>de</w:t>
      </w:r>
      <w:r w:rsidR="00AD6256" w:rsidRPr="000D2321">
        <w:t>creased by $</w:t>
      </w:r>
      <w:r w:rsidR="003E093E" w:rsidRPr="000D2321">
        <w:t>5</w:t>
      </w:r>
      <w:r w:rsidR="004719D3" w:rsidRPr="000D2321">
        <w:t>,</w:t>
      </w:r>
      <w:r w:rsidR="003E093E" w:rsidRPr="000D2321">
        <w:t>052</w:t>
      </w:r>
      <w:r w:rsidR="001C58C7" w:rsidRPr="000D2321">
        <w:t xml:space="preserve">; </w:t>
      </w:r>
      <w:r w:rsidR="004719D3" w:rsidRPr="000D2321">
        <w:t xml:space="preserve">net assets with donor restrictions </w:t>
      </w:r>
      <w:r w:rsidR="00AD47C8" w:rsidRPr="000D2321">
        <w:t>in</w:t>
      </w:r>
      <w:r w:rsidR="004719D3" w:rsidRPr="000D2321">
        <w:t xml:space="preserve">creased </w:t>
      </w:r>
      <w:r w:rsidR="001C58C7" w:rsidRPr="000D2321">
        <w:t>by $</w:t>
      </w:r>
      <w:r w:rsidR="004719D3" w:rsidRPr="000D2321">
        <w:t>1</w:t>
      </w:r>
      <w:r w:rsidR="00517C59" w:rsidRPr="000D2321">
        <w:t>61</w:t>
      </w:r>
      <w:r w:rsidR="004719D3" w:rsidRPr="000D2321">
        <w:t>,</w:t>
      </w:r>
      <w:r w:rsidR="000532A0" w:rsidRPr="000D2321">
        <w:t>5</w:t>
      </w:r>
      <w:r w:rsidR="00517C59" w:rsidRPr="000D2321">
        <w:t>24</w:t>
      </w:r>
      <w:r w:rsidR="00AD6256" w:rsidRPr="000D2321">
        <w:t>.</w:t>
      </w:r>
      <w:r w:rsidR="00F56ECB" w:rsidRPr="000D2321">
        <w:t xml:space="preserve"> Note</w:t>
      </w:r>
      <w:r w:rsidR="00300F4D" w:rsidRPr="000D2321">
        <w:t>s</w:t>
      </w:r>
      <w:r w:rsidR="00F56ECB" w:rsidRPr="00B6476D">
        <w:t xml:space="preserve"> </w:t>
      </w:r>
      <w:r w:rsidR="00300F4D" w:rsidRPr="00B6476D">
        <w:t>(</w:t>
      </w:r>
      <w:r w:rsidR="00D7564D" w:rsidRPr="00B6476D">
        <w:t>8</w:t>
      </w:r>
      <w:r w:rsidR="00300F4D" w:rsidRPr="00B6476D">
        <w:t>), (</w:t>
      </w:r>
      <w:r w:rsidR="00D7564D" w:rsidRPr="00B6476D">
        <w:t>9</w:t>
      </w:r>
      <w:r w:rsidR="00300F4D" w:rsidRPr="00B6476D">
        <w:t>) and (</w:t>
      </w:r>
      <w:r w:rsidR="00D7564D" w:rsidRPr="00B6476D">
        <w:t>10</w:t>
      </w:r>
      <w:r w:rsidR="00300F4D" w:rsidRPr="00B6476D">
        <w:t>)</w:t>
      </w:r>
      <w:r w:rsidR="00F56ECB" w:rsidRPr="00B6476D">
        <w:t xml:space="preserve"> </w:t>
      </w:r>
      <w:r w:rsidR="00300F4D" w:rsidRPr="00B6476D">
        <w:t>beginning</w:t>
      </w:r>
      <w:r w:rsidR="00F56ECB" w:rsidRPr="00B6476D">
        <w:t xml:space="preserve"> on page </w:t>
      </w:r>
      <w:r w:rsidR="00D7564D" w:rsidRPr="00B6476D">
        <w:t>15</w:t>
      </w:r>
      <w:r w:rsidR="00F56ECB" w:rsidRPr="00B6476D">
        <w:t xml:space="preserve"> </w:t>
      </w:r>
      <w:r w:rsidR="00241474" w:rsidRPr="00B6476D">
        <w:t xml:space="preserve">of the report </w:t>
      </w:r>
      <w:r w:rsidR="00E67353" w:rsidRPr="00B6476D">
        <w:t>detail</w:t>
      </w:r>
      <w:r w:rsidR="004719D3" w:rsidRPr="00B6476D">
        <w:t>s</w:t>
      </w:r>
      <w:r w:rsidR="00E67353" w:rsidRPr="00B6476D">
        <w:t xml:space="preserve"> the</w:t>
      </w:r>
      <w:r w:rsidR="00300F4D" w:rsidRPr="00B6476D">
        <w:t xml:space="preserve"> </w:t>
      </w:r>
      <w:r w:rsidR="00DF1081" w:rsidRPr="00B6476D">
        <w:t xml:space="preserve">composition </w:t>
      </w:r>
      <w:r w:rsidR="004719D3" w:rsidRPr="00B6476D">
        <w:t>of the net</w:t>
      </w:r>
      <w:r w:rsidR="00F56ECB" w:rsidRPr="00B6476D">
        <w:t xml:space="preserve"> asset</w:t>
      </w:r>
      <w:r w:rsidR="00871434" w:rsidRPr="00B6476D">
        <w:t>s</w:t>
      </w:r>
      <w:r w:rsidR="00F56ECB" w:rsidRPr="00B6476D">
        <w:t>.</w:t>
      </w:r>
      <w:r w:rsidR="00535C82" w:rsidRPr="00374B12">
        <w:t xml:space="preserve">  </w:t>
      </w:r>
      <w:r w:rsidR="006B1F2C" w:rsidRPr="00374B12">
        <w:t xml:space="preserve"> </w:t>
      </w:r>
    </w:p>
    <w:p w14:paraId="532A5140" w14:textId="77777777" w:rsidR="006A7737" w:rsidRPr="00374B12" w:rsidRDefault="006A7737" w:rsidP="00567B77">
      <w:pPr>
        <w:jc w:val="both"/>
      </w:pPr>
    </w:p>
    <w:p w14:paraId="76465EF2" w14:textId="2EF5F221" w:rsidR="00374B12" w:rsidRDefault="000C7B65" w:rsidP="00652896">
      <w:pPr>
        <w:jc w:val="both"/>
      </w:pPr>
      <w:r w:rsidRPr="00374B12">
        <w:softHyphen/>
      </w:r>
      <w:r w:rsidRPr="00374B12">
        <w:softHyphen/>
      </w:r>
      <w:r w:rsidRPr="00374B12">
        <w:softHyphen/>
      </w:r>
      <w:r w:rsidRPr="00374B12">
        <w:softHyphen/>
      </w:r>
      <w:r w:rsidRPr="00374B12">
        <w:softHyphen/>
      </w:r>
      <w:r w:rsidRPr="00374B12">
        <w:softHyphen/>
      </w:r>
      <w:r w:rsidRPr="00374B12">
        <w:softHyphen/>
      </w:r>
      <w:r w:rsidRPr="00374B12">
        <w:softHyphen/>
      </w:r>
      <w:r w:rsidRPr="00374B12">
        <w:softHyphen/>
      </w:r>
      <w:r w:rsidRPr="00374B12">
        <w:softHyphen/>
      </w:r>
      <w:r w:rsidRPr="00374B12">
        <w:softHyphen/>
      </w:r>
      <w:r w:rsidRPr="00374B12">
        <w:softHyphen/>
      </w:r>
      <w:r w:rsidRPr="00374B12">
        <w:softHyphen/>
      </w:r>
      <w:r w:rsidR="00F929C0" w:rsidRPr="00374B12">
        <w:t xml:space="preserve">The </w:t>
      </w:r>
      <w:r w:rsidR="00F929C0" w:rsidRPr="00374B12">
        <w:rPr>
          <w:u w:val="single"/>
        </w:rPr>
        <w:t>Statements of Activities</w:t>
      </w:r>
      <w:r w:rsidR="00977BF0" w:rsidRPr="00374B12">
        <w:t xml:space="preserve"> for 20</w:t>
      </w:r>
      <w:r w:rsidR="000D2321">
        <w:t>20</w:t>
      </w:r>
      <w:r w:rsidR="00DF1081">
        <w:t xml:space="preserve"> </w:t>
      </w:r>
      <w:r w:rsidR="00F929C0" w:rsidRPr="00374B12">
        <w:t>indicate</w:t>
      </w:r>
      <w:r w:rsidR="00F9793F" w:rsidRPr="00374B12">
        <w:t xml:space="preserve"> a</w:t>
      </w:r>
      <w:r w:rsidR="001E6844" w:rsidRPr="00374B12">
        <w:t xml:space="preserve"> </w:t>
      </w:r>
      <w:r w:rsidR="006632BF" w:rsidRPr="00374B12">
        <w:t>de</w:t>
      </w:r>
      <w:r w:rsidR="001E6844" w:rsidRPr="00374B12">
        <w:t xml:space="preserve">crease in </w:t>
      </w:r>
      <w:r w:rsidR="006407D7" w:rsidRPr="00374B12">
        <w:t>r</w:t>
      </w:r>
      <w:r w:rsidR="00CE6E9C" w:rsidRPr="00374B12">
        <w:t xml:space="preserve">evenue </w:t>
      </w:r>
      <w:r w:rsidR="001E6844" w:rsidRPr="00374B12">
        <w:t xml:space="preserve">and </w:t>
      </w:r>
      <w:r w:rsidR="006407D7" w:rsidRPr="00374B12">
        <w:t>o</w:t>
      </w:r>
      <w:r w:rsidR="001E6844" w:rsidRPr="00374B12">
        <w:t xml:space="preserve">ther </w:t>
      </w:r>
      <w:r w:rsidR="006407D7" w:rsidRPr="00374B12">
        <w:t>s</w:t>
      </w:r>
      <w:r w:rsidR="001E6844" w:rsidRPr="00374B12">
        <w:t>upport of $</w:t>
      </w:r>
      <w:r w:rsidR="00676CF9">
        <w:t>103</w:t>
      </w:r>
      <w:r w:rsidR="00DF1081">
        <w:t>,</w:t>
      </w:r>
      <w:r w:rsidR="00537FA5">
        <w:t>847</w:t>
      </w:r>
      <w:r w:rsidR="00F9793F" w:rsidRPr="00374B12">
        <w:t xml:space="preserve"> and a</w:t>
      </w:r>
      <w:r w:rsidR="006632BF" w:rsidRPr="00374B12">
        <w:t xml:space="preserve"> de</w:t>
      </w:r>
      <w:r w:rsidR="001E6844" w:rsidRPr="00374B12">
        <w:t>crease in expense</w:t>
      </w:r>
      <w:r w:rsidR="002F10C0" w:rsidRPr="00374B12">
        <w:t>s</w:t>
      </w:r>
      <w:r w:rsidR="001E6844" w:rsidRPr="00374B12">
        <w:t xml:space="preserve"> of $</w:t>
      </w:r>
      <w:r w:rsidR="000532A0">
        <w:t>1</w:t>
      </w:r>
      <w:r w:rsidR="008E5043">
        <w:t>44</w:t>
      </w:r>
      <w:r w:rsidR="00DF1081">
        <w:t>,</w:t>
      </w:r>
      <w:r w:rsidR="008E5043">
        <w:t>954</w:t>
      </w:r>
      <w:r w:rsidR="006407D7" w:rsidRPr="00374B12">
        <w:t>.</w:t>
      </w:r>
      <w:r w:rsidR="001C37FC" w:rsidRPr="00374B12">
        <w:t xml:space="preserve">  </w:t>
      </w:r>
    </w:p>
    <w:p w14:paraId="04B56CF8" w14:textId="77777777" w:rsidR="00374B12" w:rsidRDefault="00374B12" w:rsidP="00652896">
      <w:pPr>
        <w:jc w:val="both"/>
      </w:pPr>
    </w:p>
    <w:p w14:paraId="3F220DBB" w14:textId="07D3A098" w:rsidR="002F10C0" w:rsidRPr="00374B12" w:rsidRDefault="001C37FC" w:rsidP="00652896">
      <w:pPr>
        <w:jc w:val="both"/>
      </w:pPr>
      <w:r w:rsidRPr="00374B12">
        <w:t xml:space="preserve">The following table shows a </w:t>
      </w:r>
      <w:r w:rsidR="008E5043" w:rsidRPr="00374B12">
        <w:t>5-year</w:t>
      </w:r>
      <w:r w:rsidRPr="00374B12">
        <w:t xml:space="preserve"> trending of </w:t>
      </w:r>
      <w:r w:rsidR="006407D7" w:rsidRPr="00374B12">
        <w:t>p</w:t>
      </w:r>
      <w:r w:rsidRPr="00374B12">
        <w:t xml:space="preserve">ublic </w:t>
      </w:r>
      <w:r w:rsidR="006407D7" w:rsidRPr="00374B12">
        <w:t>s</w:t>
      </w:r>
      <w:r w:rsidRPr="00374B12">
        <w:t xml:space="preserve">upport and </w:t>
      </w:r>
      <w:r w:rsidR="00F9793F" w:rsidRPr="00374B12">
        <w:t>r</w:t>
      </w:r>
      <w:r w:rsidRPr="00374B12">
        <w:t>evenue:</w:t>
      </w:r>
    </w:p>
    <w:p w14:paraId="18759C26" w14:textId="77777777" w:rsidR="0027062B" w:rsidRPr="00374B12" w:rsidRDefault="0027062B" w:rsidP="00567B77">
      <w:pPr>
        <w:jc w:val="both"/>
      </w:pPr>
    </w:p>
    <w:p w14:paraId="10A067FF" w14:textId="77777777" w:rsidR="009116E5" w:rsidRDefault="009116E5" w:rsidP="00567B77">
      <w:pPr>
        <w:jc w:val="both"/>
        <w:rPr>
          <w:b/>
        </w:rPr>
      </w:pPr>
    </w:p>
    <w:p w14:paraId="5FE5F895" w14:textId="77777777" w:rsidR="009116E5" w:rsidRDefault="009116E5" w:rsidP="00567B77">
      <w:pPr>
        <w:jc w:val="both"/>
        <w:rPr>
          <w:b/>
        </w:rPr>
      </w:pPr>
    </w:p>
    <w:p w14:paraId="4E516A1B" w14:textId="77777777" w:rsidR="009116E5" w:rsidRDefault="009116E5" w:rsidP="00567B77">
      <w:pPr>
        <w:jc w:val="both"/>
        <w:rPr>
          <w:b/>
        </w:rPr>
      </w:pPr>
    </w:p>
    <w:p w14:paraId="229A4FCA" w14:textId="77777777" w:rsidR="009116E5" w:rsidRDefault="009116E5" w:rsidP="00567B77">
      <w:pPr>
        <w:jc w:val="both"/>
        <w:rPr>
          <w:b/>
        </w:rPr>
      </w:pPr>
    </w:p>
    <w:p w14:paraId="6342E686" w14:textId="77777777" w:rsidR="009116E5" w:rsidRDefault="009116E5" w:rsidP="00567B77">
      <w:pPr>
        <w:jc w:val="both"/>
        <w:rPr>
          <w:b/>
        </w:rPr>
      </w:pPr>
    </w:p>
    <w:p w14:paraId="484C7A24" w14:textId="77777777" w:rsidR="009116E5" w:rsidRDefault="009116E5" w:rsidP="00567B77">
      <w:pPr>
        <w:jc w:val="both"/>
        <w:rPr>
          <w:b/>
        </w:rPr>
      </w:pPr>
    </w:p>
    <w:p w14:paraId="6713CE2D" w14:textId="77777777" w:rsidR="009116E5" w:rsidRDefault="009116E5" w:rsidP="00567B77">
      <w:pPr>
        <w:jc w:val="both"/>
        <w:rPr>
          <w:b/>
        </w:rPr>
      </w:pPr>
    </w:p>
    <w:p w14:paraId="1EF0F93A" w14:textId="77777777" w:rsidR="009116E5" w:rsidRDefault="009116E5" w:rsidP="00567B77">
      <w:pPr>
        <w:jc w:val="both"/>
        <w:rPr>
          <w:b/>
        </w:rPr>
      </w:pPr>
    </w:p>
    <w:p w14:paraId="384FA422" w14:textId="77777777" w:rsidR="00A60BA8" w:rsidRDefault="00A60BA8" w:rsidP="00567B77">
      <w:pPr>
        <w:jc w:val="both"/>
        <w:rPr>
          <w:b/>
        </w:rPr>
      </w:pPr>
    </w:p>
    <w:p w14:paraId="7740CD11" w14:textId="77777777" w:rsidR="00A60BA8" w:rsidRDefault="00A60BA8" w:rsidP="00567B77">
      <w:pPr>
        <w:jc w:val="both"/>
        <w:rPr>
          <w:b/>
        </w:rPr>
      </w:pPr>
    </w:p>
    <w:p w14:paraId="2A58D0D9" w14:textId="77777777" w:rsidR="00A60BA8" w:rsidRDefault="00A60BA8" w:rsidP="00567B77">
      <w:pPr>
        <w:jc w:val="both"/>
        <w:rPr>
          <w:b/>
        </w:rPr>
      </w:pPr>
    </w:p>
    <w:p w14:paraId="180E4B6B" w14:textId="0C08029C" w:rsidR="00533C4D" w:rsidRDefault="009D5D54" w:rsidP="00567B77">
      <w:pPr>
        <w:jc w:val="both"/>
        <w:rPr>
          <w:b/>
          <w:noProof/>
        </w:rPr>
      </w:pPr>
      <w:r w:rsidRPr="00374B12">
        <w:rPr>
          <w:b/>
        </w:rPr>
        <w:t>Revenue, Gains and Other Support for t</w:t>
      </w:r>
      <w:r w:rsidR="00977BF0" w:rsidRPr="00374B12">
        <w:rPr>
          <w:b/>
        </w:rPr>
        <w:t>he years ending December 31, 201</w:t>
      </w:r>
      <w:r w:rsidR="008E5043">
        <w:rPr>
          <w:b/>
        </w:rPr>
        <w:t>6</w:t>
      </w:r>
      <w:r w:rsidRPr="00374B12">
        <w:rPr>
          <w:b/>
        </w:rPr>
        <w:t xml:space="preserve"> – 20</w:t>
      </w:r>
      <w:r w:rsidR="008E5043">
        <w:rPr>
          <w:b/>
        </w:rPr>
        <w:t>20</w:t>
      </w:r>
      <w:r w:rsidRPr="00374B12">
        <w:rPr>
          <w:b/>
        </w:rPr>
        <w:t xml:space="preserve"> (in thousands)</w:t>
      </w:r>
    </w:p>
    <w:p w14:paraId="21A62FD7" w14:textId="48B53DAC" w:rsidR="00FC4EED" w:rsidRDefault="007427D8" w:rsidP="00567B77">
      <w:pPr>
        <w:jc w:val="both"/>
        <w:rPr>
          <w:b/>
        </w:rPr>
      </w:pPr>
      <w:r>
        <w:rPr>
          <w:noProof/>
        </w:rPr>
        <w:drawing>
          <wp:inline distT="0" distB="0" distL="0" distR="0" wp14:anchorId="6C0BD396" wp14:editId="16EC0460">
            <wp:extent cx="5842000" cy="3153832"/>
            <wp:effectExtent l="0" t="0" r="6350" b="889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8137022-13A2-47D2-B1C3-5563A15B90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9E1A83" w14:textId="35F2A8A6" w:rsidR="00FC4EED" w:rsidRDefault="00FC4EED" w:rsidP="00567B77">
      <w:pPr>
        <w:jc w:val="both"/>
        <w:rPr>
          <w:b/>
        </w:rPr>
      </w:pPr>
    </w:p>
    <w:p w14:paraId="7D42A9F3" w14:textId="7857C751" w:rsidR="001A5B72" w:rsidRPr="000309D9" w:rsidRDefault="006924C6" w:rsidP="001A5B72">
      <w:pPr>
        <w:jc w:val="both"/>
      </w:pPr>
      <w:r w:rsidRPr="000309D9">
        <w:t>Campaign c</w:t>
      </w:r>
      <w:r w:rsidR="001A5B72" w:rsidRPr="000309D9">
        <w:t xml:space="preserve">ontributions </w:t>
      </w:r>
      <w:r w:rsidRPr="000309D9">
        <w:t>in</w:t>
      </w:r>
      <w:r w:rsidR="001A5B72" w:rsidRPr="000309D9">
        <w:t>creased by $</w:t>
      </w:r>
      <w:r w:rsidR="00270B51" w:rsidRPr="000309D9">
        <w:t>27</w:t>
      </w:r>
      <w:r w:rsidR="00E05E08" w:rsidRPr="000309D9">
        <w:t>1</w:t>
      </w:r>
      <w:r w:rsidR="001A5B72" w:rsidRPr="000309D9">
        <w:t>,</w:t>
      </w:r>
      <w:r w:rsidR="00E05E08" w:rsidRPr="000309D9">
        <w:t>585</w:t>
      </w:r>
      <w:r w:rsidR="001A5B72" w:rsidRPr="000309D9">
        <w:t xml:space="preserve"> in 20</w:t>
      </w:r>
      <w:r w:rsidR="00270B51" w:rsidRPr="000309D9">
        <w:t>20</w:t>
      </w:r>
      <w:r w:rsidR="001A5B72" w:rsidRPr="000309D9">
        <w:t xml:space="preserve">. </w:t>
      </w:r>
    </w:p>
    <w:p w14:paraId="4014DF2B" w14:textId="77777777" w:rsidR="001A5B72" w:rsidRPr="000309D9" w:rsidRDefault="001A5B72" w:rsidP="001A5B72">
      <w:pPr>
        <w:jc w:val="both"/>
      </w:pPr>
    </w:p>
    <w:p w14:paraId="62DD9736" w14:textId="2DA220B4" w:rsidR="000309D9" w:rsidRDefault="001A5B72" w:rsidP="001A5B72">
      <w:pPr>
        <w:jc w:val="both"/>
      </w:pPr>
      <w:r w:rsidRPr="000309D9">
        <w:t xml:space="preserve">Grant revenue </w:t>
      </w:r>
      <w:r w:rsidR="00FC4EED" w:rsidRPr="000309D9">
        <w:t>in</w:t>
      </w:r>
      <w:r w:rsidRPr="000309D9">
        <w:t xml:space="preserve">creased by </w:t>
      </w:r>
      <w:r w:rsidR="004F26AE" w:rsidRPr="000309D9">
        <w:t>$</w:t>
      </w:r>
      <w:r w:rsidR="00FC4EED" w:rsidRPr="000309D9">
        <w:t>1</w:t>
      </w:r>
      <w:r w:rsidR="00144259" w:rsidRPr="000309D9">
        <w:t>1</w:t>
      </w:r>
      <w:r w:rsidR="005B38B7" w:rsidRPr="000309D9">
        <w:t>,</w:t>
      </w:r>
      <w:r w:rsidR="00144259" w:rsidRPr="000309D9">
        <w:t>618</w:t>
      </w:r>
      <w:r w:rsidRPr="000309D9">
        <w:t xml:space="preserve">.  </w:t>
      </w:r>
      <w:r w:rsidR="00ED15AE" w:rsidRPr="000309D9">
        <w:t>Federal</w:t>
      </w:r>
      <w:r w:rsidR="005B38B7" w:rsidRPr="000309D9">
        <w:t xml:space="preserve"> grants </w:t>
      </w:r>
      <w:r w:rsidR="00ED15AE" w:rsidRPr="000309D9">
        <w:t>in</w:t>
      </w:r>
      <w:r w:rsidRPr="000309D9">
        <w:t xml:space="preserve">creased by </w:t>
      </w:r>
      <w:r w:rsidR="001A6C61" w:rsidRPr="000309D9">
        <w:t>$16</w:t>
      </w:r>
      <w:r w:rsidR="005B38B7" w:rsidRPr="000309D9">
        <w:t>,</w:t>
      </w:r>
      <w:r w:rsidR="001A6C61" w:rsidRPr="000309D9">
        <w:t>420</w:t>
      </w:r>
      <w:r w:rsidRPr="000309D9">
        <w:t xml:space="preserve">, </w:t>
      </w:r>
      <w:r w:rsidR="001A6C61" w:rsidRPr="000309D9">
        <w:t>State</w:t>
      </w:r>
      <w:r w:rsidRPr="000309D9">
        <w:t xml:space="preserve"> grants increased by $</w:t>
      </w:r>
      <w:r w:rsidR="0007466C" w:rsidRPr="000309D9">
        <w:t>23</w:t>
      </w:r>
      <w:r w:rsidR="007414CC" w:rsidRPr="000309D9">
        <w:t>,</w:t>
      </w:r>
      <w:r w:rsidR="0007466C" w:rsidRPr="000309D9">
        <w:t>066</w:t>
      </w:r>
      <w:r w:rsidRPr="000309D9">
        <w:t xml:space="preserve"> and </w:t>
      </w:r>
      <w:r w:rsidR="0007466C" w:rsidRPr="000309D9">
        <w:t>Local</w:t>
      </w:r>
      <w:r w:rsidRPr="000309D9">
        <w:t xml:space="preserve"> grants </w:t>
      </w:r>
      <w:r w:rsidR="0007466C" w:rsidRPr="000309D9">
        <w:t>de</w:t>
      </w:r>
      <w:r w:rsidRPr="000309D9">
        <w:t>creased by $</w:t>
      </w:r>
      <w:r w:rsidR="007414CC" w:rsidRPr="000309D9">
        <w:t>27</w:t>
      </w:r>
      <w:r w:rsidR="005B38B7" w:rsidRPr="000309D9">
        <w:t>,</w:t>
      </w:r>
      <w:r w:rsidR="000309D9" w:rsidRPr="000309D9">
        <w:t>868</w:t>
      </w:r>
      <w:r w:rsidRPr="000309D9">
        <w:t>.</w:t>
      </w:r>
      <w:r w:rsidR="002912EB" w:rsidRPr="002912EB">
        <w:t xml:space="preserve"> Federal government grant expenditures in 2020 are outlined on page 17 of the report. All grant revenue is recorded as restricted when received and is released from restriction upon use.</w:t>
      </w:r>
    </w:p>
    <w:p w14:paraId="7229B151" w14:textId="77777777" w:rsidR="000309D9" w:rsidRDefault="000309D9" w:rsidP="001A5B72">
      <w:pPr>
        <w:jc w:val="both"/>
      </w:pPr>
    </w:p>
    <w:p w14:paraId="121FE0FF" w14:textId="1F8838E0" w:rsidR="001A5B72" w:rsidRPr="000309D9" w:rsidRDefault="000309D9" w:rsidP="001A5B72">
      <w:pPr>
        <w:jc w:val="both"/>
      </w:pPr>
      <w:r>
        <w:t xml:space="preserve">Event </w:t>
      </w:r>
      <w:r w:rsidR="005D3BBA">
        <w:t>revenue</w:t>
      </w:r>
      <w:r w:rsidR="007E59C3">
        <w:t xml:space="preserve"> decreased by $281,282.</w:t>
      </w:r>
      <w:r w:rsidR="0003705A">
        <w:t xml:space="preserve"> Great Futures Gala</w:t>
      </w:r>
      <w:r w:rsidR="001E1738">
        <w:t xml:space="preserve"> decreased by $148,907</w:t>
      </w:r>
      <w:r w:rsidR="002B0F73">
        <w:t>,</w:t>
      </w:r>
      <w:r w:rsidR="0003705A">
        <w:t xml:space="preserve"> Golf Tournament </w:t>
      </w:r>
      <w:r w:rsidR="002B0F73">
        <w:t>decreased by $34,770</w:t>
      </w:r>
      <w:r w:rsidR="008C7E54">
        <w:t xml:space="preserve"> due to </w:t>
      </w:r>
      <w:r w:rsidR="00A3525C">
        <w:t>it being postponed</w:t>
      </w:r>
      <w:r w:rsidR="002B0F73">
        <w:t xml:space="preserve">, </w:t>
      </w:r>
      <w:r w:rsidR="0003705A">
        <w:t>Duck Race</w:t>
      </w:r>
      <w:r w:rsidR="0009215B">
        <w:t xml:space="preserve"> decreased by $12,764,</w:t>
      </w:r>
      <w:r w:rsidR="0003705A">
        <w:t xml:space="preserve"> Celebrity Waiter </w:t>
      </w:r>
      <w:r w:rsidR="00F7689C">
        <w:t>decreased by $101,681</w:t>
      </w:r>
      <w:r w:rsidR="00A3525C">
        <w:t xml:space="preserve"> due to cancellation</w:t>
      </w:r>
      <w:r w:rsidR="00F7689C">
        <w:t xml:space="preserve">, </w:t>
      </w:r>
      <w:r w:rsidR="00A3525C">
        <w:t>other</w:t>
      </w:r>
      <w:r w:rsidR="0003705A">
        <w:t xml:space="preserve"> events</w:t>
      </w:r>
      <w:r w:rsidR="001A5B72" w:rsidRPr="000309D9">
        <w:t xml:space="preserve"> </w:t>
      </w:r>
      <w:r w:rsidR="00F7689C">
        <w:t>increased by $18,710.</w:t>
      </w:r>
      <w:r w:rsidR="00193E00">
        <w:t xml:space="preserve"> Events Revenue was greatly </w:t>
      </w:r>
      <w:r w:rsidR="007C36FA">
        <w:t>a</w:t>
      </w:r>
      <w:r w:rsidR="00193E00">
        <w:t xml:space="preserve">ffected by COVID-19 restrictions during the 2020 year. </w:t>
      </w:r>
      <w:r w:rsidR="00750C04">
        <w:t xml:space="preserve">Most of the events had to be </w:t>
      </w:r>
      <w:r w:rsidR="007C36FA">
        <w:t>postponed or canceled until a later date.</w:t>
      </w:r>
    </w:p>
    <w:p w14:paraId="017EC06C" w14:textId="77777777" w:rsidR="001A5B72" w:rsidRPr="00737861" w:rsidRDefault="001A5B72" w:rsidP="001A5B72">
      <w:pPr>
        <w:jc w:val="both"/>
      </w:pPr>
    </w:p>
    <w:p w14:paraId="1ED94DB2" w14:textId="1187B7D8" w:rsidR="00750D48" w:rsidRPr="00737861" w:rsidRDefault="00F15417" w:rsidP="00567B77">
      <w:pPr>
        <w:jc w:val="both"/>
      </w:pPr>
      <w:r w:rsidRPr="00737861">
        <w:t xml:space="preserve">In-kind revenue </w:t>
      </w:r>
      <w:r w:rsidR="007414CC" w:rsidRPr="00737861">
        <w:t>de</w:t>
      </w:r>
      <w:r w:rsidRPr="00737861">
        <w:t>creased by $</w:t>
      </w:r>
      <w:r w:rsidR="00132706" w:rsidRPr="00737861">
        <w:t>2</w:t>
      </w:r>
      <w:r w:rsidR="007414CC" w:rsidRPr="00737861">
        <w:t>2</w:t>
      </w:r>
      <w:r w:rsidRPr="00737861">
        <w:t>,</w:t>
      </w:r>
      <w:r w:rsidR="00132706" w:rsidRPr="00737861">
        <w:t>222</w:t>
      </w:r>
      <w:r w:rsidRPr="00737861">
        <w:t xml:space="preserve">. </w:t>
      </w:r>
      <w:r w:rsidR="00DF1081" w:rsidRPr="00737861">
        <w:t xml:space="preserve">Note (1) </w:t>
      </w:r>
      <w:r w:rsidR="003E2A6E" w:rsidRPr="00737861">
        <w:t xml:space="preserve">K &amp; </w:t>
      </w:r>
      <w:r w:rsidR="00DF1081" w:rsidRPr="00737861">
        <w:t>L</w:t>
      </w:r>
      <w:r w:rsidR="006175FF" w:rsidRPr="00737861">
        <w:t>. on page 1</w:t>
      </w:r>
      <w:r w:rsidR="003E2A6E" w:rsidRPr="00737861">
        <w:t>2</w:t>
      </w:r>
      <w:r w:rsidR="006175FF" w:rsidRPr="00737861">
        <w:t xml:space="preserve"> </w:t>
      </w:r>
      <w:r w:rsidR="002F3405" w:rsidRPr="00737861">
        <w:t xml:space="preserve">of the report </w:t>
      </w:r>
      <w:r w:rsidR="006175FF" w:rsidRPr="00737861">
        <w:t>details the types of in-kind donations recorded in 20</w:t>
      </w:r>
      <w:r w:rsidR="002D0719" w:rsidRPr="00737861">
        <w:t>20</w:t>
      </w:r>
      <w:r w:rsidR="006175FF" w:rsidRPr="00737861">
        <w:t xml:space="preserve"> and 201</w:t>
      </w:r>
      <w:r w:rsidR="002D0719" w:rsidRPr="00737861">
        <w:t>9</w:t>
      </w:r>
      <w:r w:rsidR="006175FF" w:rsidRPr="00737861">
        <w:t>.</w:t>
      </w:r>
      <w:r w:rsidR="008B3F08" w:rsidRPr="00737861">
        <w:t xml:space="preserve"> This income is offset by a corresponding expense shown as a line item in the </w:t>
      </w:r>
      <w:r w:rsidR="008B3F08" w:rsidRPr="00737861">
        <w:rPr>
          <w:u w:val="single"/>
        </w:rPr>
        <w:t>Statements of Functional Expenses</w:t>
      </w:r>
      <w:r w:rsidR="00DF1081" w:rsidRPr="00737861">
        <w:t xml:space="preserve"> found on pages 7</w:t>
      </w:r>
      <w:r w:rsidR="008B3F08" w:rsidRPr="00737861">
        <w:t xml:space="preserve"> and </w:t>
      </w:r>
      <w:r w:rsidR="00DF1081" w:rsidRPr="00737861">
        <w:t>8</w:t>
      </w:r>
      <w:r w:rsidR="00241474" w:rsidRPr="00737861">
        <w:t xml:space="preserve"> of the report</w:t>
      </w:r>
      <w:r w:rsidR="008B3F08" w:rsidRPr="00737861">
        <w:t>. There is no effect on the change in net assets for in-kind income and expense.</w:t>
      </w:r>
    </w:p>
    <w:p w14:paraId="7F767424" w14:textId="77777777" w:rsidR="00554D54" w:rsidRPr="006C76DF" w:rsidRDefault="00554D54" w:rsidP="00567B77">
      <w:pPr>
        <w:jc w:val="both"/>
        <w:rPr>
          <w:highlight w:val="yellow"/>
        </w:rPr>
      </w:pPr>
    </w:p>
    <w:p w14:paraId="7B6EE9D7" w14:textId="27EBB345" w:rsidR="00CE72DB" w:rsidRPr="00374B12" w:rsidRDefault="007414CC" w:rsidP="00CE72DB">
      <w:pPr>
        <w:jc w:val="both"/>
      </w:pPr>
      <w:r w:rsidRPr="009A1AB2">
        <w:t xml:space="preserve">All </w:t>
      </w:r>
      <w:r w:rsidR="00CE72DB" w:rsidRPr="009A1AB2">
        <w:t xml:space="preserve">Other </w:t>
      </w:r>
      <w:r w:rsidR="008D30CC">
        <w:t>R</w:t>
      </w:r>
      <w:r w:rsidR="00F15417" w:rsidRPr="009A1AB2">
        <w:t xml:space="preserve">evenue </w:t>
      </w:r>
      <w:r w:rsidR="002F6713" w:rsidRPr="009A1AB2">
        <w:t>de</w:t>
      </w:r>
      <w:r w:rsidR="00F15417" w:rsidRPr="009A1AB2">
        <w:t>creased by $</w:t>
      </w:r>
      <w:r w:rsidR="00D66453" w:rsidRPr="009A1AB2">
        <w:t>8</w:t>
      </w:r>
      <w:r w:rsidR="00833E03" w:rsidRPr="009A1AB2">
        <w:t>3</w:t>
      </w:r>
      <w:r w:rsidR="00F15417" w:rsidRPr="009A1AB2">
        <w:t>,</w:t>
      </w:r>
      <w:r w:rsidR="00833E03" w:rsidRPr="009A1AB2">
        <w:t>546</w:t>
      </w:r>
      <w:r w:rsidR="00F15417" w:rsidRPr="009A1AB2">
        <w:t xml:space="preserve"> and </w:t>
      </w:r>
      <w:r w:rsidR="00CE72DB" w:rsidRPr="009A1AB2">
        <w:t>include</w:t>
      </w:r>
      <w:r w:rsidR="00F15417" w:rsidRPr="009A1AB2">
        <w:t>s</w:t>
      </w:r>
      <w:r w:rsidR="00CE72DB" w:rsidRPr="009A1AB2">
        <w:t xml:space="preserve"> a</w:t>
      </w:r>
      <w:r w:rsidR="00A56618" w:rsidRPr="009A1AB2">
        <w:t xml:space="preserve"> de</w:t>
      </w:r>
      <w:r w:rsidR="00CE72DB" w:rsidRPr="009A1AB2">
        <w:t xml:space="preserve">crease in </w:t>
      </w:r>
      <w:r w:rsidR="00E46DF0" w:rsidRPr="009A1AB2">
        <w:t>Keystone</w:t>
      </w:r>
      <w:r w:rsidR="00CE72DB" w:rsidRPr="009A1AB2">
        <w:t xml:space="preserve"> income of $</w:t>
      </w:r>
      <w:r w:rsidR="00E46DF0" w:rsidRPr="009A1AB2">
        <w:t>1</w:t>
      </w:r>
      <w:r w:rsidR="00B41FA9" w:rsidRPr="009A1AB2">
        <w:t>3</w:t>
      </w:r>
      <w:r w:rsidR="00CE72DB" w:rsidRPr="009A1AB2">
        <w:t>,</w:t>
      </w:r>
      <w:r w:rsidR="00B41FA9" w:rsidRPr="009A1AB2">
        <w:t>002</w:t>
      </w:r>
      <w:r w:rsidR="00CE72DB" w:rsidRPr="009A1AB2">
        <w:t xml:space="preserve">, a decrease in </w:t>
      </w:r>
      <w:r w:rsidR="00CE574A" w:rsidRPr="009A1AB2">
        <w:t>Membership</w:t>
      </w:r>
      <w:r w:rsidR="00C97990" w:rsidRPr="009A1AB2">
        <w:t xml:space="preserve"> dues</w:t>
      </w:r>
      <w:r w:rsidR="00CE72DB" w:rsidRPr="009A1AB2">
        <w:t xml:space="preserve"> </w:t>
      </w:r>
      <w:r w:rsidR="00C97990" w:rsidRPr="009A1AB2">
        <w:t>revenue</w:t>
      </w:r>
      <w:r w:rsidR="00CE72DB" w:rsidRPr="009A1AB2">
        <w:t xml:space="preserve"> of $</w:t>
      </w:r>
      <w:r w:rsidR="00C97990" w:rsidRPr="009A1AB2">
        <w:t>65</w:t>
      </w:r>
      <w:r w:rsidR="00CE72DB" w:rsidRPr="009A1AB2">
        <w:t>,</w:t>
      </w:r>
      <w:r w:rsidR="00C97990" w:rsidRPr="009A1AB2">
        <w:t>34</w:t>
      </w:r>
      <w:r w:rsidR="00F30D7D" w:rsidRPr="009A1AB2">
        <w:t>2</w:t>
      </w:r>
      <w:r w:rsidR="00CE72DB" w:rsidRPr="009A1AB2">
        <w:t xml:space="preserve">, </w:t>
      </w:r>
      <w:r w:rsidR="00F15417" w:rsidRPr="009A1AB2">
        <w:t xml:space="preserve">a </w:t>
      </w:r>
      <w:r w:rsidR="003A6A4A" w:rsidRPr="009A1AB2">
        <w:t>de</w:t>
      </w:r>
      <w:r w:rsidR="00F15417" w:rsidRPr="009A1AB2">
        <w:t xml:space="preserve">crease in </w:t>
      </w:r>
      <w:r w:rsidR="009A1AB2" w:rsidRPr="009A1AB2">
        <w:t>other</w:t>
      </w:r>
      <w:r w:rsidR="00C25F7A" w:rsidRPr="009A1AB2">
        <w:t xml:space="preserve"> income </w:t>
      </w:r>
      <w:r w:rsidR="00981C9F" w:rsidRPr="009A1AB2">
        <w:t xml:space="preserve">of </w:t>
      </w:r>
      <w:r w:rsidR="00F15417" w:rsidRPr="009A1AB2">
        <w:t>$</w:t>
      </w:r>
      <w:r w:rsidR="00C25F7A" w:rsidRPr="009A1AB2">
        <w:t>5</w:t>
      </w:r>
      <w:r w:rsidR="00F56225" w:rsidRPr="009A1AB2">
        <w:t>,</w:t>
      </w:r>
      <w:r w:rsidR="00C25F7A" w:rsidRPr="009A1AB2">
        <w:t>202</w:t>
      </w:r>
      <w:r w:rsidR="00661806">
        <w:t xml:space="preserve">. </w:t>
      </w:r>
      <w:r w:rsidR="00761DD2">
        <w:t xml:space="preserve">Our clubs were closed </w:t>
      </w:r>
      <w:r w:rsidR="009F16A0">
        <w:t xml:space="preserve">for a portion of 2020 </w:t>
      </w:r>
      <w:r w:rsidR="00761DD2">
        <w:t>and once reopened</w:t>
      </w:r>
      <w:r w:rsidR="008D30CC">
        <w:t>,</w:t>
      </w:r>
      <w:r w:rsidR="00761DD2">
        <w:t xml:space="preserve"> had</w:t>
      </w:r>
      <w:r w:rsidR="000C3891">
        <w:t xml:space="preserve"> low enrollment</w:t>
      </w:r>
      <w:r w:rsidR="009F16A0">
        <w:t xml:space="preserve"> du</w:t>
      </w:r>
      <w:r w:rsidR="008D30CC">
        <w:t>e</w:t>
      </w:r>
      <w:r w:rsidR="009F16A0">
        <w:t xml:space="preserve"> to COVID-19 restrictions</w:t>
      </w:r>
      <w:r w:rsidR="000C3891">
        <w:t>. These changes affected Other Revenue</w:t>
      </w:r>
      <w:r w:rsidR="009A1AB2">
        <w:t>.</w:t>
      </w:r>
    </w:p>
    <w:p w14:paraId="74F4B8D5" w14:textId="77777777" w:rsidR="00B94CCC" w:rsidRDefault="00B94CCC" w:rsidP="00567B77">
      <w:pPr>
        <w:jc w:val="both"/>
      </w:pPr>
    </w:p>
    <w:p w14:paraId="4377EA93" w14:textId="00D353CB" w:rsidR="009B2F9A" w:rsidRPr="00374B12" w:rsidRDefault="00094192" w:rsidP="00567B77">
      <w:pPr>
        <w:jc w:val="both"/>
      </w:pPr>
      <w:r w:rsidRPr="00374B12">
        <w:t xml:space="preserve">Expenses and </w:t>
      </w:r>
      <w:r w:rsidR="001E1BE8" w:rsidRPr="00374B12">
        <w:t>l</w:t>
      </w:r>
      <w:r w:rsidRPr="00374B12">
        <w:t xml:space="preserve">osses are outlined in the </w:t>
      </w:r>
      <w:r w:rsidRPr="00374B12">
        <w:rPr>
          <w:u w:val="single"/>
        </w:rPr>
        <w:t>Statements of Activities</w:t>
      </w:r>
      <w:r w:rsidRPr="00374B12">
        <w:t xml:space="preserve"> by </w:t>
      </w:r>
      <w:r w:rsidR="003F3A2B" w:rsidRPr="00374B12">
        <w:t xml:space="preserve">Program </w:t>
      </w:r>
      <w:r w:rsidRPr="00374B12">
        <w:t>Service</w:t>
      </w:r>
      <w:r w:rsidR="003F3A2B" w:rsidRPr="00374B12">
        <w:t>s and Supporting Services</w:t>
      </w:r>
      <w:r w:rsidRPr="00374B12">
        <w:t>.</w:t>
      </w:r>
      <w:r w:rsidR="009B5B04" w:rsidRPr="00374B12">
        <w:t xml:space="preserve"> </w:t>
      </w:r>
    </w:p>
    <w:p w14:paraId="6A6EEF01" w14:textId="77777777" w:rsidR="002203F3" w:rsidRPr="00374B12" w:rsidRDefault="002203F3" w:rsidP="00567B77">
      <w:pPr>
        <w:jc w:val="both"/>
        <w:rPr>
          <w:highlight w:val="yellow"/>
        </w:rPr>
      </w:pPr>
    </w:p>
    <w:p w14:paraId="7F7356B9" w14:textId="77777777" w:rsidR="0023174F" w:rsidRDefault="002203F3" w:rsidP="00567B77">
      <w:pPr>
        <w:jc w:val="both"/>
      </w:pPr>
      <w:r w:rsidRPr="00374B12">
        <w:lastRenderedPageBreak/>
        <w:t>Total expenses for 20</w:t>
      </w:r>
      <w:r w:rsidR="00636D3B">
        <w:t>20</w:t>
      </w:r>
      <w:r w:rsidR="008F50BB" w:rsidRPr="00374B12">
        <w:t xml:space="preserve"> de</w:t>
      </w:r>
      <w:r w:rsidR="00CF4886" w:rsidRPr="00374B12">
        <w:t>creased from 201</w:t>
      </w:r>
      <w:r w:rsidR="00A633AE">
        <w:t>9</w:t>
      </w:r>
      <w:r w:rsidRPr="00374B12">
        <w:t xml:space="preserve"> by $</w:t>
      </w:r>
      <w:r w:rsidR="00D556EA">
        <w:t>1</w:t>
      </w:r>
      <w:r w:rsidR="00A633AE">
        <w:t>44</w:t>
      </w:r>
      <w:r w:rsidR="0034435B">
        <w:t>,</w:t>
      </w:r>
      <w:r w:rsidR="00A633AE">
        <w:t>954</w:t>
      </w:r>
      <w:r w:rsidRPr="00374B12">
        <w:t xml:space="preserve">. </w:t>
      </w:r>
      <w:r w:rsidR="00533C4D" w:rsidRPr="00374B12">
        <w:t>Program services</w:t>
      </w:r>
      <w:r w:rsidR="009A5D18">
        <w:t>,</w:t>
      </w:r>
      <w:r w:rsidR="00533C4D" w:rsidRPr="00374B12">
        <w:t xml:space="preserve"> </w:t>
      </w:r>
      <w:r w:rsidR="009A5D18">
        <w:t>which include Education and Recreation activities at our clubs,</w:t>
      </w:r>
      <w:r w:rsidR="00C93EC4">
        <w:t xml:space="preserve"> </w:t>
      </w:r>
      <w:r w:rsidR="00533C4D" w:rsidRPr="00374B12">
        <w:t>de</w:t>
      </w:r>
      <w:r w:rsidRPr="00374B12">
        <w:t>creased by $</w:t>
      </w:r>
      <w:r w:rsidR="0026688F">
        <w:t>159</w:t>
      </w:r>
      <w:r w:rsidR="0034435B">
        <w:t>,</w:t>
      </w:r>
      <w:r w:rsidR="0026688F">
        <w:t>276</w:t>
      </w:r>
      <w:r w:rsidRPr="00374B12">
        <w:t xml:space="preserve"> and sup</w:t>
      </w:r>
      <w:r w:rsidR="0034435B">
        <w:t xml:space="preserve">porting services </w:t>
      </w:r>
      <w:r w:rsidR="00C74CCE">
        <w:t>in</w:t>
      </w:r>
      <w:r w:rsidR="00533C4D" w:rsidRPr="00374B12">
        <w:t>creased by $</w:t>
      </w:r>
      <w:r w:rsidR="00C74CCE">
        <w:t>14</w:t>
      </w:r>
      <w:r w:rsidR="00D556EA">
        <w:t>,</w:t>
      </w:r>
      <w:r w:rsidR="00C74CCE">
        <w:t>322</w:t>
      </w:r>
      <w:r w:rsidRPr="00374B12">
        <w:t>.</w:t>
      </w:r>
      <w:r w:rsidR="0099449C">
        <w:t xml:space="preserve"> </w:t>
      </w:r>
      <w:r w:rsidRPr="009521C2">
        <w:t>Supporting services include</w:t>
      </w:r>
      <w:r w:rsidR="00D00BE8" w:rsidRPr="009521C2">
        <w:t xml:space="preserve"> management and general</w:t>
      </w:r>
      <w:r w:rsidR="009521C2" w:rsidRPr="009521C2">
        <w:t xml:space="preserve"> </w:t>
      </w:r>
      <w:r w:rsidR="009521C2" w:rsidRPr="0059401A">
        <w:t>expenses</w:t>
      </w:r>
      <w:r w:rsidR="00624C33" w:rsidRPr="0059401A">
        <w:t>,</w:t>
      </w:r>
      <w:r w:rsidR="009521C2" w:rsidRPr="0059401A">
        <w:t xml:space="preserve"> which in</w:t>
      </w:r>
      <w:r w:rsidRPr="0059401A">
        <w:t>creased by $</w:t>
      </w:r>
      <w:r w:rsidR="00281AE1" w:rsidRPr="0059401A">
        <w:t>152</w:t>
      </w:r>
      <w:r w:rsidR="00533C4D" w:rsidRPr="0059401A">
        <w:t>,</w:t>
      </w:r>
      <w:r w:rsidR="00281AE1" w:rsidRPr="0059401A">
        <w:t>563</w:t>
      </w:r>
      <w:r w:rsidRPr="009521C2">
        <w:t xml:space="preserve"> and fundraising expenses which </w:t>
      </w:r>
      <w:r w:rsidR="008512C6">
        <w:t>de</w:t>
      </w:r>
      <w:r w:rsidRPr="009521C2">
        <w:t>creased by $</w:t>
      </w:r>
      <w:r w:rsidR="00624C33">
        <w:t>138</w:t>
      </w:r>
      <w:r w:rsidR="009521C2" w:rsidRPr="009521C2">
        <w:t>,</w:t>
      </w:r>
      <w:r w:rsidR="00624C33">
        <w:t>241</w:t>
      </w:r>
      <w:r w:rsidRPr="009521C2">
        <w:t>.</w:t>
      </w:r>
    </w:p>
    <w:p w14:paraId="09ADDB40" w14:textId="0FA9C83C" w:rsidR="00374B12" w:rsidRDefault="00C9783C" w:rsidP="00567B77">
      <w:pPr>
        <w:jc w:val="both"/>
      </w:pPr>
      <w:r w:rsidRPr="00374B12">
        <w:rPr>
          <w:b/>
        </w:rPr>
        <w:t>Five-year trend of expenses by type of service (in thousands</w:t>
      </w:r>
      <w:r w:rsidRPr="00374B12">
        <w:t>)</w:t>
      </w:r>
    </w:p>
    <w:p w14:paraId="228AD21C" w14:textId="1B5ED191" w:rsidR="00C9783C" w:rsidRDefault="00C9783C" w:rsidP="00567B77">
      <w:pPr>
        <w:jc w:val="both"/>
      </w:pPr>
      <w:r w:rsidRPr="00F418D7">
        <w:rPr>
          <w:noProof/>
        </w:rPr>
        <w:drawing>
          <wp:inline distT="0" distB="0" distL="0" distR="0" wp14:anchorId="1F9A5C0E" wp14:editId="7FCA3749">
            <wp:extent cx="5786120" cy="1851025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EA64" w14:textId="77777777" w:rsidR="00C9783C" w:rsidRDefault="00C9783C" w:rsidP="00567B77">
      <w:pPr>
        <w:jc w:val="both"/>
      </w:pPr>
    </w:p>
    <w:p w14:paraId="1C39718D" w14:textId="49286D60" w:rsidR="00F70093" w:rsidRPr="00374B12" w:rsidRDefault="00374B12" w:rsidP="00567B77">
      <w:pPr>
        <w:jc w:val="both"/>
      </w:pPr>
      <w:r>
        <w:t xml:space="preserve">The following charts depict a </w:t>
      </w:r>
      <w:r w:rsidR="00024A7A">
        <w:t>five-year</w:t>
      </w:r>
      <w:r>
        <w:t xml:space="preserve"> trend of expenses grouped by type of service:</w:t>
      </w:r>
    </w:p>
    <w:p w14:paraId="4235A653" w14:textId="77777777" w:rsidR="00F42C16" w:rsidRDefault="00F42C16" w:rsidP="00567B77">
      <w:pPr>
        <w:jc w:val="both"/>
        <w:rPr>
          <w:b/>
        </w:rPr>
      </w:pPr>
    </w:p>
    <w:p w14:paraId="62C60091" w14:textId="1019A0AC" w:rsidR="002203F3" w:rsidRDefault="00374B12" w:rsidP="00567B77">
      <w:pPr>
        <w:jc w:val="both"/>
        <w:rPr>
          <w:b/>
        </w:rPr>
      </w:pPr>
      <w:r>
        <w:rPr>
          <w:b/>
        </w:rPr>
        <w:t>F</w:t>
      </w:r>
      <w:r w:rsidR="003F3A2B" w:rsidRPr="00374B12">
        <w:rPr>
          <w:b/>
        </w:rPr>
        <w:t xml:space="preserve">ive-year trend of expenses by </w:t>
      </w:r>
      <w:r w:rsidR="001C0A34" w:rsidRPr="00374B12">
        <w:rPr>
          <w:b/>
        </w:rPr>
        <w:t xml:space="preserve">type of </w:t>
      </w:r>
      <w:r w:rsidR="00A677E8" w:rsidRPr="00374B12">
        <w:rPr>
          <w:b/>
        </w:rPr>
        <w:t>service (in thousands)</w:t>
      </w:r>
    </w:p>
    <w:p w14:paraId="0855C348" w14:textId="1CCA061E" w:rsidR="00A20130" w:rsidRPr="00374B12" w:rsidRDefault="005E11CD" w:rsidP="00567B77">
      <w:pPr>
        <w:jc w:val="both"/>
      </w:pPr>
      <w:r>
        <w:rPr>
          <w:noProof/>
        </w:rPr>
        <w:drawing>
          <wp:inline distT="0" distB="0" distL="0" distR="0" wp14:anchorId="0D596506" wp14:editId="12BD8D2F">
            <wp:extent cx="5626100" cy="1485900"/>
            <wp:effectExtent l="0" t="0" r="1270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04B0D316-0D0F-4FBF-BD5A-5E2604D1F7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110AC6A" w14:textId="73EF5CEC" w:rsidR="00F66140" w:rsidRDefault="00F66140" w:rsidP="00567B77">
      <w:pPr>
        <w:jc w:val="both"/>
      </w:pPr>
    </w:p>
    <w:p w14:paraId="7BB6C62F" w14:textId="62951474" w:rsidR="00917136" w:rsidRDefault="00917136" w:rsidP="00917136">
      <w:pPr>
        <w:jc w:val="both"/>
      </w:pPr>
      <w:r w:rsidRPr="00374B12">
        <w:t xml:space="preserve">Supporting services or overhead costs include important investments made to improve the work of </w:t>
      </w:r>
      <w:r w:rsidR="00F42C16">
        <w:t>BGCA</w:t>
      </w:r>
      <w:r w:rsidRPr="00374B12">
        <w:t xml:space="preserve">: investments in training, planning, evaluation, and internal systems— as well as efforts to raise money to operate their programs. These expenses allow </w:t>
      </w:r>
      <w:r w:rsidR="00FE2B7B">
        <w:t>BGC</w:t>
      </w:r>
      <w:r w:rsidRPr="00374B12">
        <w:t>A to sustain and improve itself.  The overhead ratio is calculated by dividing supporting services by total revenue.</w:t>
      </w:r>
    </w:p>
    <w:p w14:paraId="11DCD52F" w14:textId="77777777" w:rsidR="006A7737" w:rsidRDefault="006A7737" w:rsidP="00917136">
      <w:pPr>
        <w:jc w:val="both"/>
      </w:pPr>
    </w:p>
    <w:p w14:paraId="3990F505" w14:textId="555C3694" w:rsidR="00917136" w:rsidRPr="00374B12" w:rsidRDefault="0028134B" w:rsidP="00917136">
      <w:pPr>
        <w:jc w:val="both"/>
      </w:pPr>
      <w:r>
        <w:rPr>
          <w:b/>
        </w:rPr>
        <w:t>F</w:t>
      </w:r>
      <w:r w:rsidR="00917136" w:rsidRPr="00374B12">
        <w:rPr>
          <w:b/>
        </w:rPr>
        <w:t>ive-year trend of the overhead ratio</w:t>
      </w:r>
    </w:p>
    <w:p w14:paraId="73E7A644" w14:textId="383BD236" w:rsidR="00917136" w:rsidRDefault="002037FC" w:rsidP="009D355F">
      <w:pPr>
        <w:jc w:val="both"/>
      </w:pPr>
      <w:r w:rsidRPr="002037FC">
        <w:rPr>
          <w:noProof/>
        </w:rPr>
        <w:drawing>
          <wp:inline distT="0" distB="0" distL="0" distR="0" wp14:anchorId="4C79EAD4" wp14:editId="6F9B69EE">
            <wp:extent cx="5786120" cy="111188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6B22" w14:textId="77777777" w:rsidR="00917136" w:rsidRPr="00917136" w:rsidRDefault="00917136" w:rsidP="009D355F">
      <w:pPr>
        <w:jc w:val="both"/>
      </w:pPr>
    </w:p>
    <w:p w14:paraId="61E2E7CD" w14:textId="37DE46B3" w:rsidR="00FD2BC3" w:rsidRPr="00374B12" w:rsidRDefault="00E60021" w:rsidP="00FD2BC3">
      <w:pPr>
        <w:jc w:val="both"/>
      </w:pPr>
      <w:r w:rsidRPr="00D86A80">
        <w:t>P</w:t>
      </w:r>
      <w:r w:rsidR="00FD2BC3" w:rsidRPr="00D86A80">
        <w:t xml:space="preserve">rogram expenses can be further broken up into </w:t>
      </w:r>
      <w:r w:rsidR="004C2895" w:rsidRPr="00D86A80">
        <w:t>location</w:t>
      </w:r>
      <w:r w:rsidR="00FD2BC3" w:rsidRPr="00D86A80">
        <w:t xml:space="preserve"> area as follows:</w:t>
      </w:r>
    </w:p>
    <w:p w14:paraId="58E37CB6" w14:textId="77777777" w:rsidR="00374B12" w:rsidRDefault="00374B12" w:rsidP="001C653F">
      <w:pPr>
        <w:jc w:val="both"/>
        <w:rPr>
          <w:b/>
        </w:rPr>
      </w:pPr>
    </w:p>
    <w:p w14:paraId="2BC73821" w14:textId="77777777" w:rsidR="00836481" w:rsidRDefault="00836481" w:rsidP="001C653F">
      <w:pPr>
        <w:jc w:val="both"/>
        <w:rPr>
          <w:b/>
        </w:rPr>
      </w:pPr>
    </w:p>
    <w:p w14:paraId="4D0A55E8" w14:textId="77777777" w:rsidR="00836481" w:rsidRDefault="00836481" w:rsidP="001C653F">
      <w:pPr>
        <w:jc w:val="both"/>
        <w:rPr>
          <w:b/>
        </w:rPr>
      </w:pPr>
    </w:p>
    <w:p w14:paraId="17F71FAF" w14:textId="77777777" w:rsidR="00836481" w:rsidRDefault="00836481" w:rsidP="001C653F">
      <w:pPr>
        <w:jc w:val="both"/>
        <w:rPr>
          <w:b/>
        </w:rPr>
      </w:pPr>
    </w:p>
    <w:p w14:paraId="2456885F" w14:textId="77777777" w:rsidR="00836481" w:rsidRDefault="00836481" w:rsidP="001C653F">
      <w:pPr>
        <w:jc w:val="both"/>
        <w:rPr>
          <w:b/>
        </w:rPr>
      </w:pPr>
    </w:p>
    <w:p w14:paraId="55CE5695" w14:textId="77777777" w:rsidR="00836481" w:rsidRDefault="00836481" w:rsidP="001C653F">
      <w:pPr>
        <w:jc w:val="both"/>
        <w:rPr>
          <w:b/>
        </w:rPr>
      </w:pPr>
    </w:p>
    <w:p w14:paraId="0E159B8B" w14:textId="77777777" w:rsidR="00836481" w:rsidRDefault="00836481" w:rsidP="001C653F">
      <w:pPr>
        <w:jc w:val="both"/>
        <w:rPr>
          <w:b/>
        </w:rPr>
      </w:pPr>
    </w:p>
    <w:p w14:paraId="1B73363B" w14:textId="77777777" w:rsidR="00836481" w:rsidRDefault="00836481" w:rsidP="001C653F">
      <w:pPr>
        <w:jc w:val="both"/>
        <w:rPr>
          <w:b/>
        </w:rPr>
      </w:pPr>
    </w:p>
    <w:p w14:paraId="0BE637E8" w14:textId="77777777" w:rsidR="00836481" w:rsidRDefault="00836481" w:rsidP="001C653F">
      <w:pPr>
        <w:jc w:val="both"/>
        <w:rPr>
          <w:b/>
        </w:rPr>
      </w:pPr>
    </w:p>
    <w:p w14:paraId="67FB547D" w14:textId="47103758" w:rsidR="00A75E77" w:rsidRPr="00374B12" w:rsidRDefault="008F629D" w:rsidP="001C653F">
      <w:pPr>
        <w:jc w:val="both"/>
      </w:pPr>
      <w:r>
        <w:rPr>
          <w:b/>
        </w:rPr>
        <w:t>P</w:t>
      </w:r>
      <w:r w:rsidR="001C653F" w:rsidRPr="00374B12">
        <w:rPr>
          <w:b/>
        </w:rPr>
        <w:t xml:space="preserve">rogram expenses by </w:t>
      </w:r>
      <w:r w:rsidR="00D86A80">
        <w:rPr>
          <w:b/>
        </w:rPr>
        <w:t>location</w:t>
      </w:r>
      <w:r w:rsidR="001C653F" w:rsidRPr="00374B12">
        <w:rPr>
          <w:b/>
        </w:rPr>
        <w:t xml:space="preserve"> (in thousands</w:t>
      </w:r>
      <w:r w:rsidR="001C653F" w:rsidRPr="00374B12">
        <w:t>)</w:t>
      </w:r>
    </w:p>
    <w:p w14:paraId="3072B190" w14:textId="2D58924A" w:rsidR="001C653F" w:rsidRPr="00374B12" w:rsidRDefault="00A75E77" w:rsidP="00567B77">
      <w:pPr>
        <w:jc w:val="both"/>
      </w:pPr>
      <w:r w:rsidRPr="00A75E77">
        <w:rPr>
          <w:noProof/>
        </w:rPr>
        <w:drawing>
          <wp:inline distT="0" distB="0" distL="0" distR="0" wp14:anchorId="1642013F" wp14:editId="71E5EF3C">
            <wp:extent cx="2823667" cy="1651877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35" cy="166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28CE" w14:textId="77777777" w:rsidR="00572662" w:rsidRDefault="00572662" w:rsidP="00567B77">
      <w:pPr>
        <w:jc w:val="both"/>
      </w:pPr>
    </w:p>
    <w:p w14:paraId="24282CBF" w14:textId="69F8D89F" w:rsidR="00A677E8" w:rsidRPr="00CB1A9C" w:rsidRDefault="00A677E8" w:rsidP="00567B77">
      <w:pPr>
        <w:jc w:val="both"/>
        <w:rPr>
          <w:highlight w:val="yellow"/>
        </w:rPr>
      </w:pPr>
      <w:r w:rsidRPr="00374B12">
        <w:t xml:space="preserve">The </w:t>
      </w:r>
      <w:r w:rsidRPr="00374B12">
        <w:rPr>
          <w:u w:val="single"/>
        </w:rPr>
        <w:t>Statements of Functional Expenses</w:t>
      </w:r>
      <w:r w:rsidR="00457BEB" w:rsidRPr="00374B12">
        <w:t xml:space="preserve"> </w:t>
      </w:r>
      <w:r w:rsidR="00323F38" w:rsidRPr="00374B12">
        <w:t>on pages 7</w:t>
      </w:r>
      <w:r w:rsidR="009C0B2E" w:rsidRPr="00374B12">
        <w:t xml:space="preserve"> and </w:t>
      </w:r>
      <w:r w:rsidR="00323F38" w:rsidRPr="00374B12">
        <w:t>8</w:t>
      </w:r>
      <w:r w:rsidR="009C0B2E" w:rsidRPr="00374B12">
        <w:t xml:space="preserve"> </w:t>
      </w:r>
      <w:r w:rsidR="002F3405">
        <w:t xml:space="preserve">of the report </w:t>
      </w:r>
      <w:r w:rsidR="00A76578" w:rsidRPr="00374B12">
        <w:t>provide some detail</w:t>
      </w:r>
      <w:r w:rsidR="00457BEB" w:rsidRPr="00374B12">
        <w:t xml:space="preserve"> of</w:t>
      </w:r>
      <w:r w:rsidRPr="00374B12">
        <w:t xml:space="preserve"> the type</w:t>
      </w:r>
      <w:r w:rsidR="00457BEB" w:rsidRPr="00374B12">
        <w:t>s</w:t>
      </w:r>
      <w:r w:rsidRPr="00374B12">
        <w:t xml:space="preserve"> of expenses incurred in 20</w:t>
      </w:r>
      <w:r w:rsidR="00CB1A9C">
        <w:t>20</w:t>
      </w:r>
      <w:r w:rsidRPr="00374B12">
        <w:t xml:space="preserve"> compared to </w:t>
      </w:r>
      <w:r w:rsidRPr="0017495C">
        <w:t>201</w:t>
      </w:r>
      <w:r w:rsidR="00CB1A9C" w:rsidRPr="0017495C">
        <w:t>9</w:t>
      </w:r>
      <w:r w:rsidRPr="0017495C">
        <w:t xml:space="preserve">.  </w:t>
      </w:r>
      <w:r w:rsidR="001C0FD5" w:rsidRPr="0017495C">
        <w:t>Total</w:t>
      </w:r>
      <w:r w:rsidR="00323F38" w:rsidRPr="0017495C">
        <w:t xml:space="preserve"> expenses </w:t>
      </w:r>
      <w:r w:rsidR="004766FE" w:rsidRPr="0017495C">
        <w:t>de</w:t>
      </w:r>
      <w:r w:rsidR="00307E6C" w:rsidRPr="0017495C">
        <w:t>creased by $</w:t>
      </w:r>
      <w:r w:rsidR="001C0FD5" w:rsidRPr="0017495C">
        <w:t>1</w:t>
      </w:r>
      <w:r w:rsidR="004766FE" w:rsidRPr="0017495C">
        <w:t>44</w:t>
      </w:r>
      <w:r w:rsidR="001C0FD5" w:rsidRPr="0017495C">
        <w:t>,</w:t>
      </w:r>
      <w:r w:rsidR="004766FE" w:rsidRPr="0017495C">
        <w:t>954</w:t>
      </w:r>
      <w:r w:rsidR="00307E6C" w:rsidRPr="0017495C">
        <w:t xml:space="preserve"> or </w:t>
      </w:r>
      <w:r w:rsidR="004766FE" w:rsidRPr="0017495C">
        <w:t>7</w:t>
      </w:r>
      <w:r w:rsidR="001C0FD5" w:rsidRPr="0017495C">
        <w:t>.</w:t>
      </w:r>
      <w:r w:rsidR="007755B2" w:rsidRPr="0017495C">
        <w:t xml:space="preserve">2 </w:t>
      </w:r>
      <w:r w:rsidR="00307E6C" w:rsidRPr="0017495C">
        <w:t>%</w:t>
      </w:r>
      <w:r w:rsidR="00323F38" w:rsidRPr="0017495C">
        <w:t>.</w:t>
      </w:r>
      <w:r w:rsidR="00857828" w:rsidRPr="0017495C">
        <w:t xml:space="preserve">  </w:t>
      </w:r>
      <w:r w:rsidR="00F728E4">
        <w:t>COVID</w:t>
      </w:r>
      <w:r w:rsidR="008A7B17">
        <w:t>-</w:t>
      </w:r>
      <w:r w:rsidR="00F728E4">
        <w:t xml:space="preserve">19 restrictions </w:t>
      </w:r>
      <w:r w:rsidR="008A7B17">
        <w:t xml:space="preserve">temporarily </w:t>
      </w:r>
      <w:r w:rsidR="00F728E4">
        <w:t>changed the course of our business</w:t>
      </w:r>
      <w:r w:rsidR="008A7B17">
        <w:t xml:space="preserve"> and </w:t>
      </w:r>
      <w:r w:rsidR="007E6542">
        <w:t>therefore events were cancelled/</w:t>
      </w:r>
      <w:r w:rsidR="00092370">
        <w:t>postponed,</w:t>
      </w:r>
      <w:r w:rsidR="00F73A16">
        <w:t xml:space="preserve"> and expenses were decreased due to clubs being closed.</w:t>
      </w:r>
      <w:r w:rsidR="00F728E4">
        <w:t xml:space="preserve">  </w:t>
      </w:r>
      <w:r w:rsidR="00092370" w:rsidRPr="0017495C">
        <w:t>Line-item</w:t>
      </w:r>
      <w:r w:rsidR="00156C6E" w:rsidRPr="0017495C">
        <w:t xml:space="preserve"> </w:t>
      </w:r>
      <w:r w:rsidR="000A4149" w:rsidRPr="0017495C">
        <w:t xml:space="preserve">variances </w:t>
      </w:r>
      <w:r w:rsidR="003E37B0" w:rsidRPr="0017495C">
        <w:t>over $</w:t>
      </w:r>
      <w:r w:rsidR="00B36C14" w:rsidRPr="0017495C">
        <w:t>2,500</w:t>
      </w:r>
      <w:r w:rsidR="00156C6E" w:rsidRPr="0017495C">
        <w:t xml:space="preserve"> </w:t>
      </w:r>
      <w:r w:rsidR="000A4149" w:rsidRPr="0017495C">
        <w:t>are outlined as follows:</w:t>
      </w:r>
    </w:p>
    <w:p w14:paraId="344960EC" w14:textId="77777777" w:rsidR="001809FE" w:rsidRPr="00CB1A9C" w:rsidRDefault="001809FE" w:rsidP="00567B77">
      <w:pPr>
        <w:jc w:val="both"/>
        <w:rPr>
          <w:highlight w:val="yellow"/>
        </w:rPr>
      </w:pPr>
    </w:p>
    <w:p w14:paraId="18A631CC" w14:textId="147E2AF5" w:rsidR="008E76FA" w:rsidRPr="00FD2868" w:rsidRDefault="001809FE" w:rsidP="00541F15">
      <w:pPr>
        <w:pStyle w:val="ListParagraph"/>
        <w:numPr>
          <w:ilvl w:val="0"/>
          <w:numId w:val="3"/>
        </w:numPr>
        <w:jc w:val="both"/>
      </w:pPr>
      <w:r w:rsidRPr="00FD2868">
        <w:t>Salaries</w:t>
      </w:r>
      <w:r w:rsidR="00106D7D" w:rsidRPr="00FD2868">
        <w:t>, benefits</w:t>
      </w:r>
      <w:r w:rsidRPr="00FD2868">
        <w:t xml:space="preserve"> and </w:t>
      </w:r>
      <w:r w:rsidR="00BB1F4D" w:rsidRPr="00FD2868">
        <w:t>payroll taxes</w:t>
      </w:r>
      <w:r w:rsidRPr="00FD2868">
        <w:t xml:space="preserve"> </w:t>
      </w:r>
      <w:r w:rsidR="00BB1F4D" w:rsidRPr="00FD2868">
        <w:t>in</w:t>
      </w:r>
      <w:r w:rsidR="00B00068" w:rsidRPr="00FD2868">
        <w:t>creased by</w:t>
      </w:r>
      <w:r w:rsidR="005F068A" w:rsidRPr="00FD2868">
        <w:t xml:space="preserve"> $</w:t>
      </w:r>
      <w:r w:rsidR="00BB1F4D" w:rsidRPr="00FD2868">
        <w:t>9</w:t>
      </w:r>
      <w:r w:rsidR="001C0FD5" w:rsidRPr="00FD2868">
        <w:t>,</w:t>
      </w:r>
      <w:r w:rsidR="00BB1F4D" w:rsidRPr="00FD2868">
        <w:t>697</w:t>
      </w:r>
      <w:r w:rsidR="00946532" w:rsidRPr="00FD2868">
        <w:t xml:space="preserve"> due to </w:t>
      </w:r>
      <w:r w:rsidR="00FD2868" w:rsidRPr="00FD2868">
        <w:t>staff changes in 2020.</w:t>
      </w:r>
    </w:p>
    <w:p w14:paraId="2B8E7BD6" w14:textId="005022F5" w:rsidR="00F32CF0" w:rsidRPr="00E27CDE" w:rsidRDefault="001E666B" w:rsidP="00541F15">
      <w:pPr>
        <w:pStyle w:val="ListParagraph"/>
        <w:numPr>
          <w:ilvl w:val="0"/>
          <w:numId w:val="3"/>
        </w:numPr>
        <w:jc w:val="both"/>
      </w:pPr>
      <w:r w:rsidRPr="00E27CDE">
        <w:t>Donated a</w:t>
      </w:r>
      <w:r w:rsidR="00F32CF0" w:rsidRPr="00E27CDE">
        <w:t>dvertising decreased by $1</w:t>
      </w:r>
      <w:r w:rsidRPr="00E27CDE">
        <w:t>9</w:t>
      </w:r>
      <w:r w:rsidR="00F32CF0" w:rsidRPr="00E27CDE">
        <w:t>,</w:t>
      </w:r>
      <w:r w:rsidRPr="00E27CDE">
        <w:t>410</w:t>
      </w:r>
      <w:r w:rsidR="00F32CF0" w:rsidRPr="00E27CDE">
        <w:t xml:space="preserve"> due to</w:t>
      </w:r>
      <w:r w:rsidR="00B80DE8" w:rsidRPr="00E27CDE">
        <w:t xml:space="preserve"> lower</w:t>
      </w:r>
      <w:r w:rsidR="00F24990" w:rsidRPr="00E27CDE">
        <w:t>ed</w:t>
      </w:r>
      <w:r w:rsidR="00B80DE8" w:rsidRPr="00E27CDE">
        <w:t xml:space="preserve"> </w:t>
      </w:r>
      <w:r w:rsidR="008E14E4" w:rsidRPr="00E27CDE">
        <w:t xml:space="preserve">marketing </w:t>
      </w:r>
      <w:r w:rsidR="00B80DE8" w:rsidRPr="00E27CDE">
        <w:t xml:space="preserve">cost associated with </w:t>
      </w:r>
      <w:r w:rsidR="008E14E4" w:rsidRPr="00E27CDE">
        <w:t>COVID-19</w:t>
      </w:r>
      <w:r w:rsidR="00E27CDE" w:rsidRPr="00E27CDE">
        <w:t xml:space="preserve"> restrictions on events</w:t>
      </w:r>
      <w:r w:rsidR="00B80DE8" w:rsidRPr="00E27CDE">
        <w:t>.</w:t>
      </w:r>
    </w:p>
    <w:p w14:paraId="70960B37" w14:textId="09530BED" w:rsidR="00ED760A" w:rsidRPr="00663651" w:rsidRDefault="001C0FD5" w:rsidP="00ED760A">
      <w:pPr>
        <w:pStyle w:val="ListParagraph"/>
        <w:numPr>
          <w:ilvl w:val="0"/>
          <w:numId w:val="3"/>
        </w:numPr>
        <w:jc w:val="both"/>
      </w:pPr>
      <w:r w:rsidRPr="00663651">
        <w:t>C</w:t>
      </w:r>
      <w:r w:rsidR="00484EA8" w:rsidRPr="00663651">
        <w:t>el</w:t>
      </w:r>
      <w:r w:rsidR="00F900F0" w:rsidRPr="00663651">
        <w:t xml:space="preserve">ebrity Waiter </w:t>
      </w:r>
      <w:r w:rsidR="00F32CF0" w:rsidRPr="00663651">
        <w:t>de</w:t>
      </w:r>
      <w:r w:rsidRPr="00663651">
        <w:t>creased by</w:t>
      </w:r>
      <w:r w:rsidR="005F068A" w:rsidRPr="00663651">
        <w:t xml:space="preserve"> $</w:t>
      </w:r>
      <w:r w:rsidR="00F32CF0" w:rsidRPr="00663651">
        <w:t>1</w:t>
      </w:r>
      <w:r w:rsidR="00565F68" w:rsidRPr="00663651">
        <w:t>5</w:t>
      </w:r>
      <w:r w:rsidR="00F32CF0" w:rsidRPr="00663651">
        <w:t>,0</w:t>
      </w:r>
      <w:r w:rsidR="00565F68" w:rsidRPr="00663651">
        <w:t>9</w:t>
      </w:r>
      <w:r w:rsidR="00F32CF0" w:rsidRPr="00663651">
        <w:t>1</w:t>
      </w:r>
      <w:r w:rsidR="00946532" w:rsidRPr="00663651">
        <w:t xml:space="preserve"> </w:t>
      </w:r>
      <w:r w:rsidRPr="00663651">
        <w:t xml:space="preserve">due to </w:t>
      </w:r>
      <w:r w:rsidR="006E4C8C" w:rsidRPr="00663651">
        <w:t>the event being cancelled</w:t>
      </w:r>
      <w:r w:rsidR="00663651" w:rsidRPr="00663651">
        <w:t>.</w:t>
      </w:r>
      <w:r w:rsidR="006E4C8C" w:rsidRPr="00663651">
        <w:t xml:space="preserve"> </w:t>
      </w:r>
    </w:p>
    <w:p w14:paraId="74D1E612" w14:textId="7EFD3DC0" w:rsidR="001C0FD5" w:rsidRPr="00AF37BE" w:rsidRDefault="00654F0E" w:rsidP="00D12253">
      <w:pPr>
        <w:pStyle w:val="ListParagraph"/>
        <w:numPr>
          <w:ilvl w:val="0"/>
          <w:numId w:val="3"/>
        </w:numPr>
        <w:jc w:val="both"/>
      </w:pPr>
      <w:r w:rsidRPr="00AF37BE">
        <w:t>Donated Materials decreased by $2,812</w:t>
      </w:r>
      <w:r w:rsidR="0078450B" w:rsidRPr="00AF37BE">
        <w:t xml:space="preserve"> due to lowered marketing costs. </w:t>
      </w:r>
    </w:p>
    <w:p w14:paraId="2B534EF7" w14:textId="4E26D819" w:rsidR="00A42332" w:rsidRPr="004B5588" w:rsidRDefault="0033389B" w:rsidP="00A42332">
      <w:pPr>
        <w:pStyle w:val="ListParagraph"/>
        <w:numPr>
          <w:ilvl w:val="0"/>
          <w:numId w:val="3"/>
        </w:numPr>
        <w:jc w:val="both"/>
      </w:pPr>
      <w:r w:rsidRPr="004B5588">
        <w:t>Duck Race expenses decreased by $4,075</w:t>
      </w:r>
      <w:r w:rsidR="00DB28D0" w:rsidRPr="004B5588">
        <w:t xml:space="preserve"> due to streamlining expenses in an uncertain time</w:t>
      </w:r>
      <w:r w:rsidR="001E15CB" w:rsidRPr="004B5588">
        <w:t>.</w:t>
      </w:r>
      <w:r w:rsidR="004843E7" w:rsidRPr="004B5588">
        <w:t xml:space="preserve"> </w:t>
      </w:r>
    </w:p>
    <w:p w14:paraId="29FC7A2A" w14:textId="022468EC" w:rsidR="00235C64" w:rsidRPr="0007437D" w:rsidRDefault="009126CA" w:rsidP="00A42332">
      <w:pPr>
        <w:pStyle w:val="ListParagraph"/>
        <w:numPr>
          <w:ilvl w:val="0"/>
          <w:numId w:val="3"/>
        </w:numPr>
        <w:jc w:val="both"/>
      </w:pPr>
      <w:r w:rsidRPr="0007437D">
        <w:t xml:space="preserve">Golf Tournament </w:t>
      </w:r>
      <w:r w:rsidR="00235C64" w:rsidRPr="0007437D">
        <w:t xml:space="preserve">expenses </w:t>
      </w:r>
      <w:r w:rsidR="00A8513F" w:rsidRPr="0007437D">
        <w:t>de</w:t>
      </w:r>
      <w:r w:rsidR="00235C64" w:rsidRPr="0007437D">
        <w:t>creased by $</w:t>
      </w:r>
      <w:r w:rsidRPr="0007437D">
        <w:t>10</w:t>
      </w:r>
      <w:r w:rsidR="00235C64" w:rsidRPr="0007437D">
        <w:t>,5</w:t>
      </w:r>
      <w:r w:rsidR="00A8513F" w:rsidRPr="0007437D">
        <w:t>6</w:t>
      </w:r>
      <w:r w:rsidRPr="0007437D">
        <w:t>8</w:t>
      </w:r>
      <w:r w:rsidR="00235C64" w:rsidRPr="0007437D">
        <w:t xml:space="preserve"> due to </w:t>
      </w:r>
      <w:r w:rsidR="00A8513F" w:rsidRPr="0007437D">
        <w:t xml:space="preserve">the </w:t>
      </w:r>
      <w:r w:rsidR="00235C64" w:rsidRPr="0007437D">
        <w:t>event</w:t>
      </w:r>
      <w:r w:rsidR="00A8513F" w:rsidRPr="0007437D">
        <w:t xml:space="preserve"> </w:t>
      </w:r>
      <w:r w:rsidR="009B771D" w:rsidRPr="0007437D">
        <w:t>being postponed</w:t>
      </w:r>
      <w:r w:rsidR="0007437D" w:rsidRPr="0007437D">
        <w:t xml:space="preserve"> </w:t>
      </w:r>
      <w:r w:rsidR="00F065C2" w:rsidRPr="0007437D">
        <w:t>20</w:t>
      </w:r>
      <w:r w:rsidR="0007437D" w:rsidRPr="0007437D">
        <w:t>20</w:t>
      </w:r>
      <w:r w:rsidR="00A8513F" w:rsidRPr="0007437D">
        <w:t>.</w:t>
      </w:r>
    </w:p>
    <w:p w14:paraId="569CA2D2" w14:textId="5A0D5DB6" w:rsidR="00A8513F" w:rsidRPr="00C72D87" w:rsidRDefault="00A24173" w:rsidP="00A8513F">
      <w:pPr>
        <w:pStyle w:val="ListParagraph"/>
        <w:numPr>
          <w:ilvl w:val="0"/>
          <w:numId w:val="3"/>
        </w:numPr>
        <w:jc w:val="both"/>
      </w:pPr>
      <w:r w:rsidRPr="00C72D87">
        <w:t>Keystone expenses decreased by $8,810</w:t>
      </w:r>
      <w:r w:rsidR="003F2955" w:rsidRPr="00C72D87">
        <w:t>.</w:t>
      </w:r>
      <w:r w:rsidR="00BD4AC4" w:rsidRPr="00C72D87">
        <w:t xml:space="preserve"> </w:t>
      </w:r>
      <w:r w:rsidR="002F3405" w:rsidRPr="00C72D87">
        <w:t>T</w:t>
      </w:r>
      <w:r w:rsidR="00BD4AC4" w:rsidRPr="00C72D87">
        <w:t>his is a</w:t>
      </w:r>
      <w:r w:rsidR="003F2955" w:rsidRPr="00C72D87">
        <w:t xml:space="preserve"> </w:t>
      </w:r>
      <w:r w:rsidR="008C6BE9" w:rsidRPr="00C72D87">
        <w:t>direct effect of the club</w:t>
      </w:r>
      <w:r w:rsidR="0074482A" w:rsidRPr="00C72D87">
        <w:t>’</w:t>
      </w:r>
      <w:r w:rsidR="008C6BE9" w:rsidRPr="00C72D87">
        <w:t>s closure</w:t>
      </w:r>
      <w:r w:rsidR="0074482A" w:rsidRPr="00C72D87">
        <w:t xml:space="preserve"> during 2020</w:t>
      </w:r>
      <w:r w:rsidR="008C6BE9" w:rsidRPr="00C72D87">
        <w:t xml:space="preserve">. </w:t>
      </w:r>
    </w:p>
    <w:p w14:paraId="325D00D8" w14:textId="7EE5850A" w:rsidR="00235C64" w:rsidRPr="00C72D87" w:rsidRDefault="00371335" w:rsidP="00A8513F">
      <w:pPr>
        <w:pStyle w:val="ListParagraph"/>
        <w:numPr>
          <w:ilvl w:val="0"/>
          <w:numId w:val="3"/>
        </w:numPr>
        <w:jc w:val="both"/>
      </w:pPr>
      <w:r w:rsidRPr="00C72D87">
        <w:t>Miscellaneous expenses decreased by $6,566</w:t>
      </w:r>
      <w:r w:rsidR="00C72D87" w:rsidRPr="00C72D87">
        <w:t xml:space="preserve"> due to temporary changes to the course of our business in 2020.</w:t>
      </w:r>
    </w:p>
    <w:p w14:paraId="67B91E5F" w14:textId="49614084" w:rsidR="00A42332" w:rsidRPr="00D34F9E" w:rsidRDefault="006B2523" w:rsidP="00373BEB">
      <w:pPr>
        <w:pStyle w:val="ListParagraph"/>
        <w:numPr>
          <w:ilvl w:val="0"/>
          <w:numId w:val="3"/>
        </w:numPr>
        <w:jc w:val="both"/>
      </w:pPr>
      <w:r w:rsidRPr="00377CF3">
        <w:t xml:space="preserve">Printing expenses were increased by $6,272. These expenses were inflated due to the </w:t>
      </w:r>
      <w:r w:rsidR="001730C9" w:rsidRPr="00377CF3">
        <w:t xml:space="preserve">new </w:t>
      </w:r>
      <w:r w:rsidR="007C794E" w:rsidRPr="00377CF3">
        <w:t xml:space="preserve">Meal </w:t>
      </w:r>
      <w:r w:rsidR="007C794E" w:rsidRPr="00D34F9E">
        <w:t xml:space="preserve">Distribution </w:t>
      </w:r>
      <w:r w:rsidR="00BE5D3F" w:rsidRPr="00D34F9E">
        <w:t>efforts that took place during the club closure</w:t>
      </w:r>
      <w:r w:rsidR="00377CF3" w:rsidRPr="00D34F9E">
        <w:t>s</w:t>
      </w:r>
      <w:r w:rsidR="00577A78">
        <w:t xml:space="preserve"> in addition to </w:t>
      </w:r>
      <w:r w:rsidR="00E60E48">
        <w:t>membership registration postcards for the Fall of 2020</w:t>
      </w:r>
      <w:r w:rsidR="00694E0C">
        <w:t xml:space="preserve"> being mailed out</w:t>
      </w:r>
      <w:r w:rsidR="00377CF3" w:rsidRPr="00D34F9E">
        <w:t>.</w:t>
      </w:r>
    </w:p>
    <w:p w14:paraId="396BC8A0" w14:textId="406E1316" w:rsidR="00235C64" w:rsidRPr="00D34F9E" w:rsidRDefault="00377CF3" w:rsidP="00316021">
      <w:pPr>
        <w:pStyle w:val="ListParagraph"/>
        <w:numPr>
          <w:ilvl w:val="0"/>
          <w:numId w:val="3"/>
        </w:numPr>
        <w:jc w:val="both"/>
      </w:pPr>
      <w:r w:rsidRPr="00D34F9E">
        <w:t xml:space="preserve">Repairs and Maintenance </w:t>
      </w:r>
      <w:r w:rsidR="00EF556B" w:rsidRPr="00D34F9E">
        <w:t>expense increased by $23,778</w:t>
      </w:r>
      <w:r w:rsidR="00A353AF" w:rsidRPr="00D34F9E">
        <w:t xml:space="preserve"> due to the increased costs associated with </w:t>
      </w:r>
      <w:r w:rsidR="00D34F9E" w:rsidRPr="00D34F9E">
        <w:t>reopening our clubs once we were allowed to do so.</w:t>
      </w:r>
    </w:p>
    <w:p w14:paraId="022D4C4B" w14:textId="3CC9FEAE" w:rsidR="00235C64" w:rsidRPr="005356CF" w:rsidRDefault="005927CB" w:rsidP="00316021">
      <w:pPr>
        <w:pStyle w:val="ListParagraph"/>
        <w:numPr>
          <w:ilvl w:val="0"/>
          <w:numId w:val="3"/>
        </w:numPr>
        <w:jc w:val="both"/>
      </w:pPr>
      <w:r w:rsidRPr="005356CF">
        <w:t xml:space="preserve">Great Futures Gala Event expense decreased by $94,940 due to the event being </w:t>
      </w:r>
      <w:r w:rsidR="005356CF" w:rsidRPr="005356CF">
        <w:t>changed to virtual</w:t>
      </w:r>
      <w:r w:rsidRPr="005356CF">
        <w:t xml:space="preserve">. </w:t>
      </w:r>
    </w:p>
    <w:p w14:paraId="36388222" w14:textId="0150DF6A" w:rsidR="0079726F" w:rsidRDefault="00204AE8" w:rsidP="00316021">
      <w:pPr>
        <w:pStyle w:val="ListParagraph"/>
        <w:numPr>
          <w:ilvl w:val="0"/>
          <w:numId w:val="3"/>
        </w:numPr>
        <w:jc w:val="both"/>
      </w:pPr>
      <w:r w:rsidRPr="00426C9E">
        <w:t>S</w:t>
      </w:r>
      <w:r w:rsidR="0010277B" w:rsidRPr="00426C9E">
        <w:t>upplies</w:t>
      </w:r>
      <w:r w:rsidR="00A96763" w:rsidRPr="00426C9E">
        <w:t xml:space="preserve"> expenses</w:t>
      </w:r>
      <w:r w:rsidR="00426C9E" w:rsidRPr="00426C9E">
        <w:t xml:space="preserve"> increased by $4,181 due to the increased cleaning supplies needed to reopen our clubs once we were allowed to do so.</w:t>
      </w:r>
    </w:p>
    <w:p w14:paraId="16978881" w14:textId="0662E6C6" w:rsidR="000770E0" w:rsidRPr="001B27A9" w:rsidRDefault="000770E0" w:rsidP="00316021">
      <w:pPr>
        <w:pStyle w:val="ListParagraph"/>
        <w:numPr>
          <w:ilvl w:val="0"/>
          <w:numId w:val="3"/>
        </w:numPr>
        <w:jc w:val="both"/>
      </w:pPr>
      <w:r w:rsidRPr="00610EFC">
        <w:t>Telephone expenses decreased by $3,734</w:t>
      </w:r>
      <w:r w:rsidR="00A07855" w:rsidRPr="00610EFC">
        <w:t xml:space="preserve"> due to</w:t>
      </w:r>
      <w:r w:rsidR="00A07855" w:rsidRPr="001B27A9">
        <w:t xml:space="preserve"> </w:t>
      </w:r>
      <w:r w:rsidR="00610EFC">
        <w:t>decreased usage during COVID-19 restrictions.</w:t>
      </w:r>
    </w:p>
    <w:p w14:paraId="48DC3C4E" w14:textId="498E3F25" w:rsidR="00CC321D" w:rsidRPr="001B1A69" w:rsidRDefault="00CC321D" w:rsidP="00316021">
      <w:pPr>
        <w:pStyle w:val="ListParagraph"/>
        <w:numPr>
          <w:ilvl w:val="0"/>
          <w:numId w:val="3"/>
        </w:numPr>
        <w:jc w:val="both"/>
      </w:pPr>
      <w:r w:rsidRPr="001B1A69">
        <w:t>Training and Conferences</w:t>
      </w:r>
      <w:r w:rsidR="00571307" w:rsidRPr="001B1A69">
        <w:t xml:space="preserve"> decreased by $16,632</w:t>
      </w:r>
      <w:r w:rsidR="005F5F07" w:rsidRPr="001B1A69">
        <w:t xml:space="preserve"> due to </w:t>
      </w:r>
      <w:r w:rsidR="001B27A9" w:rsidRPr="001B1A69">
        <w:t>COVID-19 restrictions.</w:t>
      </w:r>
    </w:p>
    <w:p w14:paraId="1A5CBA6E" w14:textId="689B826D" w:rsidR="0014520A" w:rsidRPr="001B1A69" w:rsidRDefault="0014520A" w:rsidP="00316021">
      <w:pPr>
        <w:pStyle w:val="ListParagraph"/>
        <w:numPr>
          <w:ilvl w:val="0"/>
          <w:numId w:val="3"/>
        </w:numPr>
        <w:jc w:val="both"/>
      </w:pPr>
      <w:r w:rsidRPr="001B1A69">
        <w:t xml:space="preserve">Utilities </w:t>
      </w:r>
      <w:r w:rsidR="00D3072E" w:rsidRPr="001B1A69">
        <w:t xml:space="preserve">and security </w:t>
      </w:r>
      <w:r w:rsidRPr="001B1A69">
        <w:t>expenses decreased by $4,</w:t>
      </w:r>
      <w:r w:rsidR="00BA70FD" w:rsidRPr="001B1A69">
        <w:t>349</w:t>
      </w:r>
      <w:r w:rsidR="001E02AD" w:rsidRPr="001B1A69">
        <w:t xml:space="preserve"> </w:t>
      </w:r>
      <w:r w:rsidR="008252B4" w:rsidRPr="001B1A69">
        <w:t xml:space="preserve">due to </w:t>
      </w:r>
      <w:r w:rsidR="0062259E" w:rsidRPr="001B1A69">
        <w:t>COVID-19</w:t>
      </w:r>
      <w:r w:rsidR="00EB469C" w:rsidRPr="001B1A69">
        <w:t xml:space="preserve"> restrictions</w:t>
      </w:r>
      <w:r w:rsidR="007105F3" w:rsidRPr="001B1A69">
        <w:t>.</w:t>
      </w:r>
    </w:p>
    <w:p w14:paraId="2B962DF7" w14:textId="3F8DB26C" w:rsidR="00936ABE" w:rsidRPr="001B1A69" w:rsidRDefault="007105F3" w:rsidP="000746C4">
      <w:pPr>
        <w:pStyle w:val="ListParagraph"/>
        <w:numPr>
          <w:ilvl w:val="0"/>
          <w:numId w:val="3"/>
        </w:numPr>
        <w:jc w:val="both"/>
      </w:pPr>
      <w:r w:rsidRPr="001B1A69">
        <w:t>Dep</w:t>
      </w:r>
      <w:r w:rsidR="007B046F" w:rsidRPr="001B1A69">
        <w:t>reciation expenses increased by $3,521</w:t>
      </w:r>
      <w:r w:rsidR="001B1A69" w:rsidRPr="001B1A69">
        <w:t xml:space="preserve"> due to changes in Fixed Assets</w:t>
      </w:r>
      <w:r w:rsidR="000746C4" w:rsidRPr="001B1A69">
        <w:t xml:space="preserve">.  </w:t>
      </w:r>
    </w:p>
    <w:p w14:paraId="3B6E1B99" w14:textId="77777777" w:rsidR="001809FE" w:rsidRPr="00CB1A9C" w:rsidRDefault="001809FE" w:rsidP="00567B77">
      <w:pPr>
        <w:jc w:val="both"/>
        <w:rPr>
          <w:highlight w:val="yellow"/>
        </w:rPr>
      </w:pPr>
    </w:p>
    <w:p w14:paraId="0A257F46" w14:textId="6E21719B" w:rsidR="00BD4F88" w:rsidRDefault="00EE0421" w:rsidP="00562731">
      <w:pPr>
        <w:jc w:val="both"/>
      </w:pPr>
      <w:r w:rsidRPr="002C0D8C">
        <w:t>The</w:t>
      </w:r>
      <w:r w:rsidR="009C0B2E" w:rsidRPr="002C0D8C">
        <w:t xml:space="preserve"> </w:t>
      </w:r>
      <w:r w:rsidRPr="002C0D8C">
        <w:t xml:space="preserve">increases and </w:t>
      </w:r>
      <w:r w:rsidR="009C0B2E" w:rsidRPr="002C0D8C">
        <w:t xml:space="preserve">decreases </w:t>
      </w:r>
      <w:r w:rsidRPr="002C0D8C">
        <w:t xml:space="preserve">outlined </w:t>
      </w:r>
      <w:r w:rsidR="00A467A1" w:rsidRPr="002C0D8C">
        <w:t xml:space="preserve">above </w:t>
      </w:r>
      <w:r w:rsidRPr="002C0D8C">
        <w:t>make up all but $</w:t>
      </w:r>
      <w:r w:rsidR="00DE157C" w:rsidRPr="002C0D8C">
        <w:t>5</w:t>
      </w:r>
      <w:r w:rsidR="00235C64" w:rsidRPr="002C0D8C">
        <w:t>,</w:t>
      </w:r>
      <w:r w:rsidR="00DE157C" w:rsidRPr="002C0D8C">
        <w:t>416</w:t>
      </w:r>
      <w:r w:rsidRPr="002C0D8C">
        <w:t xml:space="preserve"> of the</w:t>
      </w:r>
      <w:r w:rsidR="00BD4F88" w:rsidRPr="002C0D8C">
        <w:t xml:space="preserve"> total </w:t>
      </w:r>
      <w:r w:rsidR="008E76FA" w:rsidRPr="002C0D8C">
        <w:t>de</w:t>
      </w:r>
      <w:r w:rsidR="00BD4F88" w:rsidRPr="002C0D8C">
        <w:t>crease in expenses.</w:t>
      </w:r>
    </w:p>
    <w:p w14:paraId="26A41F27" w14:textId="77777777" w:rsidR="003552F4" w:rsidRDefault="003552F4" w:rsidP="00562731">
      <w:pPr>
        <w:jc w:val="both"/>
      </w:pPr>
    </w:p>
    <w:p w14:paraId="5D0607D5" w14:textId="4D4CD8D2" w:rsidR="00736928" w:rsidRDefault="00BD4F88" w:rsidP="00295A7A">
      <w:pPr>
        <w:jc w:val="both"/>
      </w:pPr>
      <w:r>
        <w:t xml:space="preserve">The following chart is a </w:t>
      </w:r>
      <w:r w:rsidR="00A42332" w:rsidRPr="00374B12">
        <w:t>detailed trend of expenses by function:</w:t>
      </w:r>
    </w:p>
    <w:p w14:paraId="1826C5A3" w14:textId="77777777" w:rsidR="00C759CA" w:rsidRDefault="00C759CA" w:rsidP="00295A7A">
      <w:pPr>
        <w:jc w:val="both"/>
        <w:rPr>
          <w:b/>
        </w:rPr>
      </w:pPr>
    </w:p>
    <w:p w14:paraId="633AF588" w14:textId="77777777" w:rsidR="00610EFC" w:rsidRDefault="00610EFC" w:rsidP="00295A7A">
      <w:pPr>
        <w:jc w:val="both"/>
        <w:rPr>
          <w:b/>
        </w:rPr>
      </w:pPr>
    </w:p>
    <w:p w14:paraId="22F30D95" w14:textId="77777777" w:rsidR="00610EFC" w:rsidRDefault="00610EFC" w:rsidP="00295A7A">
      <w:pPr>
        <w:jc w:val="both"/>
        <w:rPr>
          <w:b/>
        </w:rPr>
      </w:pPr>
    </w:p>
    <w:p w14:paraId="41C28489" w14:textId="77777777" w:rsidR="00610EFC" w:rsidRDefault="00610EFC" w:rsidP="00295A7A">
      <w:pPr>
        <w:jc w:val="both"/>
        <w:rPr>
          <w:b/>
        </w:rPr>
      </w:pPr>
    </w:p>
    <w:p w14:paraId="2522A479" w14:textId="77777777" w:rsidR="00610EFC" w:rsidRDefault="00610EFC" w:rsidP="00295A7A">
      <w:pPr>
        <w:jc w:val="both"/>
        <w:rPr>
          <w:b/>
        </w:rPr>
      </w:pPr>
    </w:p>
    <w:p w14:paraId="23DBCEF8" w14:textId="77777777" w:rsidR="00610EFC" w:rsidRDefault="00610EFC" w:rsidP="00295A7A">
      <w:pPr>
        <w:jc w:val="both"/>
        <w:rPr>
          <w:b/>
        </w:rPr>
      </w:pPr>
    </w:p>
    <w:p w14:paraId="0428D4AC" w14:textId="77777777" w:rsidR="00610EFC" w:rsidRDefault="00610EFC" w:rsidP="00295A7A">
      <w:pPr>
        <w:jc w:val="both"/>
        <w:rPr>
          <w:b/>
        </w:rPr>
      </w:pPr>
    </w:p>
    <w:p w14:paraId="77C8980C" w14:textId="429FB67E" w:rsidR="00295A7A" w:rsidRPr="00374B12" w:rsidRDefault="00A42332" w:rsidP="00295A7A">
      <w:pPr>
        <w:jc w:val="both"/>
        <w:rPr>
          <w:b/>
        </w:rPr>
      </w:pPr>
      <w:r w:rsidRPr="006D4557">
        <w:rPr>
          <w:b/>
        </w:rPr>
        <w:t>Five-year</w:t>
      </w:r>
      <w:r w:rsidR="001E7FFB" w:rsidRPr="006D4557">
        <w:rPr>
          <w:b/>
        </w:rPr>
        <w:t xml:space="preserve"> trend</w:t>
      </w:r>
      <w:r w:rsidR="00295A7A" w:rsidRPr="006D4557">
        <w:rPr>
          <w:b/>
        </w:rPr>
        <w:t xml:space="preserve"> of expenses </w:t>
      </w:r>
      <w:r w:rsidR="001E7FFB" w:rsidRPr="006D4557">
        <w:rPr>
          <w:b/>
        </w:rPr>
        <w:t>by function</w:t>
      </w:r>
      <w:r w:rsidRPr="006D4557">
        <w:rPr>
          <w:b/>
        </w:rPr>
        <w:t xml:space="preserve"> </w:t>
      </w:r>
      <w:r w:rsidR="001E7FFB" w:rsidRPr="006D4557">
        <w:rPr>
          <w:b/>
        </w:rPr>
        <w:t>(in thousands)</w:t>
      </w:r>
    </w:p>
    <w:p w14:paraId="0EDB0D36" w14:textId="77777777" w:rsidR="00B345C2" w:rsidRDefault="00BD2114" w:rsidP="00567B77">
      <w:pPr>
        <w:jc w:val="both"/>
      </w:pPr>
      <w:r w:rsidRPr="00BD2114">
        <w:rPr>
          <w:noProof/>
        </w:rPr>
        <w:drawing>
          <wp:inline distT="0" distB="0" distL="0" distR="0" wp14:anchorId="31C36D58" wp14:editId="6B4BE6FF">
            <wp:extent cx="5943600" cy="60706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5BCA" w14:textId="77777777" w:rsidR="002E14BC" w:rsidRDefault="002E14BC" w:rsidP="00567B77">
      <w:pPr>
        <w:jc w:val="both"/>
        <w:rPr>
          <w:b/>
        </w:rPr>
      </w:pPr>
    </w:p>
    <w:p w14:paraId="24BF0E1B" w14:textId="77777777" w:rsidR="00C23AE9" w:rsidRDefault="00C23AE9" w:rsidP="00567B77">
      <w:pPr>
        <w:jc w:val="both"/>
        <w:rPr>
          <w:b/>
        </w:rPr>
      </w:pPr>
    </w:p>
    <w:p w14:paraId="4851C700" w14:textId="77777777" w:rsidR="00C23AE9" w:rsidRDefault="00C23AE9" w:rsidP="00567B77">
      <w:pPr>
        <w:jc w:val="both"/>
        <w:rPr>
          <w:b/>
        </w:rPr>
      </w:pPr>
    </w:p>
    <w:p w14:paraId="75B5BA3A" w14:textId="77777777" w:rsidR="00C23AE9" w:rsidRDefault="00C23AE9" w:rsidP="00567B77">
      <w:pPr>
        <w:jc w:val="both"/>
        <w:rPr>
          <w:b/>
        </w:rPr>
      </w:pPr>
    </w:p>
    <w:p w14:paraId="0411FF45" w14:textId="77777777" w:rsidR="00C23AE9" w:rsidRDefault="00C23AE9" w:rsidP="00567B77">
      <w:pPr>
        <w:jc w:val="both"/>
        <w:rPr>
          <w:b/>
        </w:rPr>
      </w:pPr>
    </w:p>
    <w:p w14:paraId="1A6EDE86" w14:textId="77777777" w:rsidR="00C23AE9" w:rsidRDefault="00C23AE9" w:rsidP="00567B77">
      <w:pPr>
        <w:jc w:val="both"/>
        <w:rPr>
          <w:b/>
        </w:rPr>
      </w:pPr>
    </w:p>
    <w:p w14:paraId="1335C855" w14:textId="77777777" w:rsidR="00C23AE9" w:rsidRDefault="00C23AE9" w:rsidP="00567B77">
      <w:pPr>
        <w:jc w:val="both"/>
        <w:rPr>
          <w:b/>
        </w:rPr>
      </w:pPr>
    </w:p>
    <w:p w14:paraId="3CDA0139" w14:textId="77777777" w:rsidR="00C23AE9" w:rsidRDefault="00C23AE9" w:rsidP="00567B77">
      <w:pPr>
        <w:jc w:val="both"/>
        <w:rPr>
          <w:b/>
        </w:rPr>
      </w:pPr>
    </w:p>
    <w:p w14:paraId="145CAF6D" w14:textId="77777777" w:rsidR="00C23AE9" w:rsidRDefault="00C23AE9" w:rsidP="00567B77">
      <w:pPr>
        <w:jc w:val="both"/>
        <w:rPr>
          <w:b/>
        </w:rPr>
      </w:pPr>
    </w:p>
    <w:p w14:paraId="419397ED" w14:textId="77777777" w:rsidR="00C23AE9" w:rsidRDefault="00C23AE9" w:rsidP="00567B77">
      <w:pPr>
        <w:jc w:val="both"/>
        <w:rPr>
          <w:b/>
        </w:rPr>
      </w:pPr>
    </w:p>
    <w:p w14:paraId="43386007" w14:textId="77777777" w:rsidR="00C23AE9" w:rsidRDefault="00C23AE9" w:rsidP="00567B77">
      <w:pPr>
        <w:jc w:val="both"/>
        <w:rPr>
          <w:b/>
        </w:rPr>
      </w:pPr>
    </w:p>
    <w:p w14:paraId="04BA576D" w14:textId="77777777" w:rsidR="00C23AE9" w:rsidRDefault="00C23AE9" w:rsidP="00567B77">
      <w:pPr>
        <w:jc w:val="both"/>
        <w:rPr>
          <w:b/>
        </w:rPr>
      </w:pPr>
    </w:p>
    <w:p w14:paraId="68A00E63" w14:textId="7BB89AB4" w:rsidR="00B62352" w:rsidRPr="00B345C2" w:rsidRDefault="00C8343B" w:rsidP="00567B77">
      <w:pPr>
        <w:jc w:val="both"/>
      </w:pPr>
      <w:r>
        <w:rPr>
          <w:b/>
        </w:rPr>
        <w:t>R</w:t>
      </w:r>
      <w:r w:rsidR="00F9594F" w:rsidRPr="00374B12">
        <w:rPr>
          <w:b/>
        </w:rPr>
        <w:t>equest for Information</w:t>
      </w:r>
    </w:p>
    <w:p w14:paraId="5F54DFE1" w14:textId="77777777" w:rsidR="00F9594F" w:rsidRPr="00374B12" w:rsidRDefault="00F9594F" w:rsidP="00567B77">
      <w:pPr>
        <w:jc w:val="both"/>
        <w:rPr>
          <w:b/>
        </w:rPr>
      </w:pPr>
    </w:p>
    <w:p w14:paraId="561D9480" w14:textId="6A996093" w:rsidR="00F9594F" w:rsidRPr="00374B12" w:rsidRDefault="00F9594F" w:rsidP="00567B77">
      <w:pPr>
        <w:jc w:val="both"/>
      </w:pPr>
      <w:r w:rsidRPr="00374B12">
        <w:t xml:space="preserve">The financial report is designed to provide a general overview of </w:t>
      </w:r>
      <w:r w:rsidR="008938E6">
        <w:t>Boys &amp; Girls Clubs</w:t>
      </w:r>
      <w:r w:rsidRPr="00374B12">
        <w:t xml:space="preserve"> of Acadiana’s finances for all those with an interest.  Questions concerning any of the information provided in this report or requests for additional financial information should be addressed to:</w:t>
      </w:r>
    </w:p>
    <w:p w14:paraId="5EFF00CB" w14:textId="77777777" w:rsidR="00C759CA" w:rsidRDefault="00C759CA" w:rsidP="001F2548">
      <w:pPr>
        <w:ind w:firstLine="720"/>
        <w:jc w:val="both"/>
      </w:pPr>
    </w:p>
    <w:p w14:paraId="052A7CAD" w14:textId="59D517CD" w:rsidR="003552F4" w:rsidRPr="00C23AE9" w:rsidRDefault="00A52717" w:rsidP="001F2548">
      <w:pPr>
        <w:ind w:firstLine="720"/>
        <w:jc w:val="both"/>
      </w:pPr>
      <w:r w:rsidRPr="00C23AE9">
        <w:t>Riley Meaux</w:t>
      </w:r>
    </w:p>
    <w:p w14:paraId="19E50F30" w14:textId="0C1759FC" w:rsidR="00F9594F" w:rsidRPr="00C23AE9" w:rsidRDefault="0013590F" w:rsidP="003552F4">
      <w:pPr>
        <w:ind w:firstLine="720"/>
        <w:jc w:val="both"/>
      </w:pPr>
      <w:r w:rsidRPr="00C23AE9">
        <w:t>Controller</w:t>
      </w:r>
    </w:p>
    <w:p w14:paraId="0384724B" w14:textId="1E8A7580" w:rsidR="00F9594F" w:rsidRPr="00C23AE9" w:rsidRDefault="00F9594F" w:rsidP="00567B77">
      <w:pPr>
        <w:jc w:val="both"/>
      </w:pPr>
      <w:r w:rsidRPr="00C23AE9">
        <w:tab/>
      </w:r>
      <w:r w:rsidR="0013590F" w:rsidRPr="00C23AE9">
        <w:t>Boys &amp; Girls Clubs</w:t>
      </w:r>
      <w:r w:rsidRPr="00C23AE9">
        <w:t xml:space="preserve"> of Acadiana, Inc.</w:t>
      </w:r>
    </w:p>
    <w:p w14:paraId="0B215029" w14:textId="7BE3B2E8" w:rsidR="00F9594F" w:rsidRPr="00C23AE9" w:rsidRDefault="00F9594F" w:rsidP="00567B77">
      <w:pPr>
        <w:jc w:val="both"/>
        <w:rPr>
          <w:lang w:val="fr-FR"/>
        </w:rPr>
      </w:pPr>
      <w:r w:rsidRPr="00C23AE9">
        <w:tab/>
      </w:r>
      <w:r w:rsidR="008D2BDA" w:rsidRPr="00C23AE9">
        <w:rPr>
          <w:lang w:val="fr-FR"/>
        </w:rPr>
        <w:t xml:space="preserve">P.O. Box </w:t>
      </w:r>
      <w:r w:rsidR="0013590F" w:rsidRPr="00C23AE9">
        <w:rPr>
          <w:lang w:val="fr-FR"/>
        </w:rPr>
        <w:t>62166</w:t>
      </w:r>
    </w:p>
    <w:p w14:paraId="180CEF1E" w14:textId="580FC22B" w:rsidR="008D2BDA" w:rsidRPr="00C23AE9" w:rsidRDefault="00121763" w:rsidP="00567B77">
      <w:pPr>
        <w:jc w:val="both"/>
        <w:rPr>
          <w:lang w:val="fr-FR"/>
        </w:rPr>
      </w:pPr>
      <w:r w:rsidRPr="00C23AE9">
        <w:rPr>
          <w:lang w:val="fr-FR"/>
        </w:rPr>
        <w:tab/>
        <w:t>La</w:t>
      </w:r>
      <w:r w:rsidR="008D2BDA" w:rsidRPr="00C23AE9">
        <w:rPr>
          <w:lang w:val="fr-FR"/>
        </w:rPr>
        <w:t>f</w:t>
      </w:r>
      <w:r w:rsidRPr="00C23AE9">
        <w:rPr>
          <w:lang w:val="fr-FR"/>
        </w:rPr>
        <w:t>ay</w:t>
      </w:r>
      <w:r w:rsidR="008D2BDA" w:rsidRPr="00C23AE9">
        <w:rPr>
          <w:lang w:val="fr-FR"/>
        </w:rPr>
        <w:t>ette, LA 705</w:t>
      </w:r>
      <w:r w:rsidR="00C15184" w:rsidRPr="00C23AE9">
        <w:rPr>
          <w:lang w:val="fr-FR"/>
        </w:rPr>
        <w:t>96</w:t>
      </w:r>
      <w:r w:rsidR="008D2BDA" w:rsidRPr="00C23AE9">
        <w:rPr>
          <w:lang w:val="fr-FR"/>
        </w:rPr>
        <w:t>-</w:t>
      </w:r>
      <w:r w:rsidR="00C15184" w:rsidRPr="00C23AE9">
        <w:rPr>
          <w:lang w:val="fr-FR"/>
        </w:rPr>
        <w:t>2166</w:t>
      </w:r>
    </w:p>
    <w:p w14:paraId="433E0A8B" w14:textId="0D363149" w:rsidR="008D2BDA" w:rsidRPr="00C23AE9" w:rsidRDefault="008D2BDA" w:rsidP="00567B77">
      <w:pPr>
        <w:jc w:val="both"/>
        <w:rPr>
          <w:lang w:val="fr-FR"/>
        </w:rPr>
      </w:pPr>
      <w:r w:rsidRPr="00C23AE9">
        <w:rPr>
          <w:lang w:val="fr-FR"/>
        </w:rPr>
        <w:tab/>
        <w:t>(337) 70</w:t>
      </w:r>
      <w:r w:rsidR="00C15184" w:rsidRPr="00C23AE9">
        <w:rPr>
          <w:lang w:val="fr-FR"/>
        </w:rPr>
        <w:t>3-</w:t>
      </w:r>
      <w:r w:rsidR="00D3497E" w:rsidRPr="00C23AE9">
        <w:rPr>
          <w:lang w:val="fr-FR"/>
        </w:rPr>
        <w:t>4757</w:t>
      </w:r>
    </w:p>
    <w:p w14:paraId="222230D6" w14:textId="74E53620" w:rsidR="003552F4" w:rsidRPr="00C23AE9" w:rsidRDefault="003552F4" w:rsidP="00567B77">
      <w:pPr>
        <w:jc w:val="both"/>
        <w:rPr>
          <w:lang w:val="fr-FR"/>
        </w:rPr>
      </w:pPr>
      <w:r w:rsidRPr="00C23AE9">
        <w:rPr>
          <w:lang w:val="fr-FR"/>
        </w:rPr>
        <w:tab/>
      </w:r>
      <w:r w:rsidR="00A52717" w:rsidRPr="00C23AE9">
        <w:rPr>
          <w:lang w:val="fr-FR"/>
        </w:rPr>
        <w:t>Rmeaux</w:t>
      </w:r>
      <w:r w:rsidRPr="00C23AE9">
        <w:rPr>
          <w:lang w:val="fr-FR"/>
        </w:rPr>
        <w:t>@</w:t>
      </w:r>
      <w:r w:rsidR="00D3497E" w:rsidRPr="00C23AE9">
        <w:rPr>
          <w:lang w:val="fr-FR"/>
        </w:rPr>
        <w:t>bgcacadiana.com</w:t>
      </w:r>
    </w:p>
    <w:sectPr w:rsidR="003552F4" w:rsidRPr="00C23AE9" w:rsidSect="00727DEA">
      <w:footerReference w:type="default" r:id="rId20"/>
      <w:pgSz w:w="12240" w:h="15840" w:code="1"/>
      <w:pgMar w:top="90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9E08" w14:textId="77777777" w:rsidR="0082179C" w:rsidRDefault="0082179C" w:rsidP="001D00F8">
      <w:r>
        <w:separator/>
      </w:r>
    </w:p>
  </w:endnote>
  <w:endnote w:type="continuationSeparator" w:id="0">
    <w:p w14:paraId="028DB8C0" w14:textId="77777777" w:rsidR="0082179C" w:rsidRDefault="0082179C" w:rsidP="001D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0480"/>
      <w:docPartObj>
        <w:docPartGallery w:val="Page Numbers (Bottom of Page)"/>
        <w:docPartUnique/>
      </w:docPartObj>
    </w:sdtPr>
    <w:sdtEndPr/>
    <w:sdtContent>
      <w:p w14:paraId="5F17E1AD" w14:textId="77777777" w:rsidR="00C87D13" w:rsidRDefault="0033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74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23980B1" w14:textId="77777777" w:rsidR="00C87D13" w:rsidRDefault="00C87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3F07" w14:textId="77777777" w:rsidR="0082179C" w:rsidRDefault="0082179C" w:rsidP="001D00F8">
      <w:r>
        <w:separator/>
      </w:r>
    </w:p>
  </w:footnote>
  <w:footnote w:type="continuationSeparator" w:id="0">
    <w:p w14:paraId="41480D30" w14:textId="77777777" w:rsidR="0082179C" w:rsidRDefault="0082179C" w:rsidP="001D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7DD"/>
    <w:multiLevelType w:val="hybridMultilevel"/>
    <w:tmpl w:val="E780B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546"/>
    <w:multiLevelType w:val="hybridMultilevel"/>
    <w:tmpl w:val="DB68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18D8"/>
    <w:multiLevelType w:val="hybridMultilevel"/>
    <w:tmpl w:val="AEE2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4460"/>
    <w:multiLevelType w:val="hybridMultilevel"/>
    <w:tmpl w:val="C700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77BDB"/>
    <w:multiLevelType w:val="hybridMultilevel"/>
    <w:tmpl w:val="7C64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16"/>
    <w:rsid w:val="00003D6D"/>
    <w:rsid w:val="0000464E"/>
    <w:rsid w:val="0000661F"/>
    <w:rsid w:val="000109D0"/>
    <w:rsid w:val="00014176"/>
    <w:rsid w:val="00014B83"/>
    <w:rsid w:val="00015050"/>
    <w:rsid w:val="00016671"/>
    <w:rsid w:val="0001684E"/>
    <w:rsid w:val="00016BCE"/>
    <w:rsid w:val="000177A7"/>
    <w:rsid w:val="0002048A"/>
    <w:rsid w:val="00024A7A"/>
    <w:rsid w:val="0002651A"/>
    <w:rsid w:val="000309D9"/>
    <w:rsid w:val="00032AE0"/>
    <w:rsid w:val="0003705A"/>
    <w:rsid w:val="00037269"/>
    <w:rsid w:val="0004140F"/>
    <w:rsid w:val="00041B8C"/>
    <w:rsid w:val="00041D7F"/>
    <w:rsid w:val="000439F4"/>
    <w:rsid w:val="000449C6"/>
    <w:rsid w:val="0004714C"/>
    <w:rsid w:val="000478E3"/>
    <w:rsid w:val="00050E34"/>
    <w:rsid w:val="000532A0"/>
    <w:rsid w:val="00061DE9"/>
    <w:rsid w:val="000621B7"/>
    <w:rsid w:val="00062475"/>
    <w:rsid w:val="0006568A"/>
    <w:rsid w:val="00067F71"/>
    <w:rsid w:val="0007056A"/>
    <w:rsid w:val="0007069F"/>
    <w:rsid w:val="000727CC"/>
    <w:rsid w:val="0007437D"/>
    <w:rsid w:val="00074659"/>
    <w:rsid w:val="0007466C"/>
    <w:rsid w:val="000746C4"/>
    <w:rsid w:val="000770E0"/>
    <w:rsid w:val="0008087E"/>
    <w:rsid w:val="000822AE"/>
    <w:rsid w:val="00083BC5"/>
    <w:rsid w:val="0009106E"/>
    <w:rsid w:val="0009215B"/>
    <w:rsid w:val="00092370"/>
    <w:rsid w:val="0009372E"/>
    <w:rsid w:val="00094192"/>
    <w:rsid w:val="00094CEF"/>
    <w:rsid w:val="00094F6C"/>
    <w:rsid w:val="000956FA"/>
    <w:rsid w:val="00095DDF"/>
    <w:rsid w:val="000A12DA"/>
    <w:rsid w:val="000A25AB"/>
    <w:rsid w:val="000A323F"/>
    <w:rsid w:val="000A4149"/>
    <w:rsid w:val="000A4B01"/>
    <w:rsid w:val="000A5E58"/>
    <w:rsid w:val="000A72F1"/>
    <w:rsid w:val="000A7DBB"/>
    <w:rsid w:val="000C31F0"/>
    <w:rsid w:val="000C3891"/>
    <w:rsid w:val="000C5834"/>
    <w:rsid w:val="000C699A"/>
    <w:rsid w:val="000C6F8B"/>
    <w:rsid w:val="000C7B65"/>
    <w:rsid w:val="000D1C9C"/>
    <w:rsid w:val="000D2321"/>
    <w:rsid w:val="000D518C"/>
    <w:rsid w:val="000D55F9"/>
    <w:rsid w:val="000D6B65"/>
    <w:rsid w:val="000D7778"/>
    <w:rsid w:val="000E4AE1"/>
    <w:rsid w:val="000E5638"/>
    <w:rsid w:val="000F140A"/>
    <w:rsid w:val="000F1536"/>
    <w:rsid w:val="000F1CD3"/>
    <w:rsid w:val="000F41F1"/>
    <w:rsid w:val="0010277B"/>
    <w:rsid w:val="001030EB"/>
    <w:rsid w:val="00103E65"/>
    <w:rsid w:val="00106D7D"/>
    <w:rsid w:val="00110871"/>
    <w:rsid w:val="00115A65"/>
    <w:rsid w:val="00121141"/>
    <w:rsid w:val="001215D4"/>
    <w:rsid w:val="00121763"/>
    <w:rsid w:val="00125F47"/>
    <w:rsid w:val="00126C26"/>
    <w:rsid w:val="001300EE"/>
    <w:rsid w:val="00132706"/>
    <w:rsid w:val="001331EC"/>
    <w:rsid w:val="0013590F"/>
    <w:rsid w:val="00140E04"/>
    <w:rsid w:val="001420DF"/>
    <w:rsid w:val="00144259"/>
    <w:rsid w:val="001444B8"/>
    <w:rsid w:val="001449F6"/>
    <w:rsid w:val="0014520A"/>
    <w:rsid w:val="00150802"/>
    <w:rsid w:val="00152FD1"/>
    <w:rsid w:val="00156C6E"/>
    <w:rsid w:val="00162363"/>
    <w:rsid w:val="0016619C"/>
    <w:rsid w:val="001701F3"/>
    <w:rsid w:val="001730C9"/>
    <w:rsid w:val="0017358B"/>
    <w:rsid w:val="0017495C"/>
    <w:rsid w:val="001809FE"/>
    <w:rsid w:val="001821A7"/>
    <w:rsid w:val="00183007"/>
    <w:rsid w:val="001841EF"/>
    <w:rsid w:val="00185C2E"/>
    <w:rsid w:val="001906C1"/>
    <w:rsid w:val="00192461"/>
    <w:rsid w:val="00193E00"/>
    <w:rsid w:val="00196FCC"/>
    <w:rsid w:val="001A3DCA"/>
    <w:rsid w:val="001A4069"/>
    <w:rsid w:val="001A5B72"/>
    <w:rsid w:val="001A6AA4"/>
    <w:rsid w:val="001A6C61"/>
    <w:rsid w:val="001B1A69"/>
    <w:rsid w:val="001B27A9"/>
    <w:rsid w:val="001B748D"/>
    <w:rsid w:val="001B7C1B"/>
    <w:rsid w:val="001B7F03"/>
    <w:rsid w:val="001C0A34"/>
    <w:rsid w:val="001C0FD5"/>
    <w:rsid w:val="001C1845"/>
    <w:rsid w:val="001C37FC"/>
    <w:rsid w:val="001C4CE3"/>
    <w:rsid w:val="001C5448"/>
    <w:rsid w:val="001C58C7"/>
    <w:rsid w:val="001C5E70"/>
    <w:rsid w:val="001C653F"/>
    <w:rsid w:val="001C6A99"/>
    <w:rsid w:val="001C6F6C"/>
    <w:rsid w:val="001C6FBD"/>
    <w:rsid w:val="001D00F8"/>
    <w:rsid w:val="001D0B08"/>
    <w:rsid w:val="001D2210"/>
    <w:rsid w:val="001D5DD3"/>
    <w:rsid w:val="001D62F0"/>
    <w:rsid w:val="001D784E"/>
    <w:rsid w:val="001E02AD"/>
    <w:rsid w:val="001E15CB"/>
    <w:rsid w:val="001E1738"/>
    <w:rsid w:val="001E1BE8"/>
    <w:rsid w:val="001E2957"/>
    <w:rsid w:val="001E374F"/>
    <w:rsid w:val="001E666B"/>
    <w:rsid w:val="001E6844"/>
    <w:rsid w:val="001E6A5E"/>
    <w:rsid w:val="001E75D5"/>
    <w:rsid w:val="001E7FFB"/>
    <w:rsid w:val="001F2548"/>
    <w:rsid w:val="001F3351"/>
    <w:rsid w:val="002014A6"/>
    <w:rsid w:val="002037FC"/>
    <w:rsid w:val="00204AE8"/>
    <w:rsid w:val="002150AE"/>
    <w:rsid w:val="002172FF"/>
    <w:rsid w:val="002203F3"/>
    <w:rsid w:val="00222015"/>
    <w:rsid w:val="002246B3"/>
    <w:rsid w:val="002266FF"/>
    <w:rsid w:val="0023174F"/>
    <w:rsid w:val="00234536"/>
    <w:rsid w:val="00235C64"/>
    <w:rsid w:val="00236909"/>
    <w:rsid w:val="00240C3D"/>
    <w:rsid w:val="00241474"/>
    <w:rsid w:val="0024210C"/>
    <w:rsid w:val="00242911"/>
    <w:rsid w:val="00256499"/>
    <w:rsid w:val="00256E51"/>
    <w:rsid w:val="00260C47"/>
    <w:rsid w:val="0026688F"/>
    <w:rsid w:val="0027062B"/>
    <w:rsid w:val="00270B51"/>
    <w:rsid w:val="00271998"/>
    <w:rsid w:val="0028134B"/>
    <w:rsid w:val="00281AE1"/>
    <w:rsid w:val="002906B0"/>
    <w:rsid w:val="002912EB"/>
    <w:rsid w:val="00295A7A"/>
    <w:rsid w:val="002978B4"/>
    <w:rsid w:val="002A284D"/>
    <w:rsid w:val="002A41A4"/>
    <w:rsid w:val="002A5A95"/>
    <w:rsid w:val="002A64E8"/>
    <w:rsid w:val="002A7904"/>
    <w:rsid w:val="002B0F73"/>
    <w:rsid w:val="002B5B5C"/>
    <w:rsid w:val="002B6CF7"/>
    <w:rsid w:val="002B72DC"/>
    <w:rsid w:val="002C0D8C"/>
    <w:rsid w:val="002C1111"/>
    <w:rsid w:val="002C127A"/>
    <w:rsid w:val="002C2A68"/>
    <w:rsid w:val="002D0719"/>
    <w:rsid w:val="002D0A39"/>
    <w:rsid w:val="002D0FA2"/>
    <w:rsid w:val="002D1436"/>
    <w:rsid w:val="002D1CF7"/>
    <w:rsid w:val="002D21EB"/>
    <w:rsid w:val="002D7739"/>
    <w:rsid w:val="002E14BC"/>
    <w:rsid w:val="002E7B73"/>
    <w:rsid w:val="002F0741"/>
    <w:rsid w:val="002F0841"/>
    <w:rsid w:val="002F10C0"/>
    <w:rsid w:val="002F3405"/>
    <w:rsid w:val="002F5AAA"/>
    <w:rsid w:val="002F6713"/>
    <w:rsid w:val="00300BEE"/>
    <w:rsid w:val="00300F4D"/>
    <w:rsid w:val="003057A1"/>
    <w:rsid w:val="003074ED"/>
    <w:rsid w:val="00307E6C"/>
    <w:rsid w:val="00312890"/>
    <w:rsid w:val="003130A9"/>
    <w:rsid w:val="003157D7"/>
    <w:rsid w:val="00316021"/>
    <w:rsid w:val="003172B9"/>
    <w:rsid w:val="00323F38"/>
    <w:rsid w:val="00324A34"/>
    <w:rsid w:val="003268E7"/>
    <w:rsid w:val="003310C3"/>
    <w:rsid w:val="00331C21"/>
    <w:rsid w:val="00331E6C"/>
    <w:rsid w:val="00333723"/>
    <w:rsid w:val="0033389B"/>
    <w:rsid w:val="003350EE"/>
    <w:rsid w:val="0034435B"/>
    <w:rsid w:val="00346CE4"/>
    <w:rsid w:val="003538B2"/>
    <w:rsid w:val="00354EBD"/>
    <w:rsid w:val="003552F4"/>
    <w:rsid w:val="0035693F"/>
    <w:rsid w:val="00361C71"/>
    <w:rsid w:val="0036730E"/>
    <w:rsid w:val="00371335"/>
    <w:rsid w:val="00373B85"/>
    <w:rsid w:val="00373BEB"/>
    <w:rsid w:val="00374B12"/>
    <w:rsid w:val="00375947"/>
    <w:rsid w:val="00376D4A"/>
    <w:rsid w:val="00377CF3"/>
    <w:rsid w:val="00385F59"/>
    <w:rsid w:val="0038644B"/>
    <w:rsid w:val="00387DF5"/>
    <w:rsid w:val="00393C91"/>
    <w:rsid w:val="003963BC"/>
    <w:rsid w:val="0039678A"/>
    <w:rsid w:val="003A2530"/>
    <w:rsid w:val="003A4C70"/>
    <w:rsid w:val="003A5C6B"/>
    <w:rsid w:val="003A5C6E"/>
    <w:rsid w:val="003A61C8"/>
    <w:rsid w:val="003A6A4A"/>
    <w:rsid w:val="003B15A1"/>
    <w:rsid w:val="003B1DB7"/>
    <w:rsid w:val="003B407E"/>
    <w:rsid w:val="003B7CBC"/>
    <w:rsid w:val="003B7F50"/>
    <w:rsid w:val="003C3C66"/>
    <w:rsid w:val="003C5A2F"/>
    <w:rsid w:val="003D09AA"/>
    <w:rsid w:val="003D3ACF"/>
    <w:rsid w:val="003D728E"/>
    <w:rsid w:val="003E093E"/>
    <w:rsid w:val="003E1FF5"/>
    <w:rsid w:val="003E2A6E"/>
    <w:rsid w:val="003E37B0"/>
    <w:rsid w:val="003E7541"/>
    <w:rsid w:val="003F2525"/>
    <w:rsid w:val="003F2955"/>
    <w:rsid w:val="003F3A2B"/>
    <w:rsid w:val="00401B63"/>
    <w:rsid w:val="00404720"/>
    <w:rsid w:val="00411D76"/>
    <w:rsid w:val="004129AF"/>
    <w:rsid w:val="00414916"/>
    <w:rsid w:val="0041673B"/>
    <w:rsid w:val="00424E77"/>
    <w:rsid w:val="00426431"/>
    <w:rsid w:val="00426C9E"/>
    <w:rsid w:val="004276BE"/>
    <w:rsid w:val="00432641"/>
    <w:rsid w:val="00435ED7"/>
    <w:rsid w:val="00440339"/>
    <w:rsid w:val="00444023"/>
    <w:rsid w:val="00446E67"/>
    <w:rsid w:val="00451569"/>
    <w:rsid w:val="00453FAA"/>
    <w:rsid w:val="0045424B"/>
    <w:rsid w:val="00457BEB"/>
    <w:rsid w:val="004719D3"/>
    <w:rsid w:val="004766FE"/>
    <w:rsid w:val="00477506"/>
    <w:rsid w:val="00477BF5"/>
    <w:rsid w:val="00480CBC"/>
    <w:rsid w:val="00480E84"/>
    <w:rsid w:val="00481247"/>
    <w:rsid w:val="00483892"/>
    <w:rsid w:val="004843E7"/>
    <w:rsid w:val="00484EA8"/>
    <w:rsid w:val="00485917"/>
    <w:rsid w:val="00490946"/>
    <w:rsid w:val="00492474"/>
    <w:rsid w:val="00492F06"/>
    <w:rsid w:val="0049688D"/>
    <w:rsid w:val="004A04BC"/>
    <w:rsid w:val="004A5C4C"/>
    <w:rsid w:val="004A6807"/>
    <w:rsid w:val="004B4E6E"/>
    <w:rsid w:val="004B5588"/>
    <w:rsid w:val="004C04D6"/>
    <w:rsid w:val="004C1FFE"/>
    <w:rsid w:val="004C2895"/>
    <w:rsid w:val="004C5F4A"/>
    <w:rsid w:val="004D1C9B"/>
    <w:rsid w:val="004E4279"/>
    <w:rsid w:val="004F26AE"/>
    <w:rsid w:val="004F472E"/>
    <w:rsid w:val="004F537F"/>
    <w:rsid w:val="004F5C7C"/>
    <w:rsid w:val="005018CB"/>
    <w:rsid w:val="00504679"/>
    <w:rsid w:val="00504A3A"/>
    <w:rsid w:val="005075C6"/>
    <w:rsid w:val="00510EAE"/>
    <w:rsid w:val="00517C59"/>
    <w:rsid w:val="0052443A"/>
    <w:rsid w:val="005246E0"/>
    <w:rsid w:val="00525DBB"/>
    <w:rsid w:val="00530D5F"/>
    <w:rsid w:val="00531AE0"/>
    <w:rsid w:val="00532E15"/>
    <w:rsid w:val="00533C4D"/>
    <w:rsid w:val="005356C0"/>
    <w:rsid w:val="005356CF"/>
    <w:rsid w:val="00535C82"/>
    <w:rsid w:val="00536A2C"/>
    <w:rsid w:val="00537FA5"/>
    <w:rsid w:val="00541B09"/>
    <w:rsid w:val="00542534"/>
    <w:rsid w:val="00545132"/>
    <w:rsid w:val="005462A3"/>
    <w:rsid w:val="005470E2"/>
    <w:rsid w:val="005508CB"/>
    <w:rsid w:val="00550E8E"/>
    <w:rsid w:val="00554D54"/>
    <w:rsid w:val="00555ABA"/>
    <w:rsid w:val="00556DD4"/>
    <w:rsid w:val="0055704B"/>
    <w:rsid w:val="00557227"/>
    <w:rsid w:val="00557400"/>
    <w:rsid w:val="00562731"/>
    <w:rsid w:val="00562911"/>
    <w:rsid w:val="00562D0D"/>
    <w:rsid w:val="00564FE3"/>
    <w:rsid w:val="0056553B"/>
    <w:rsid w:val="00565F68"/>
    <w:rsid w:val="005662D7"/>
    <w:rsid w:val="0056757B"/>
    <w:rsid w:val="00567B77"/>
    <w:rsid w:val="005700DE"/>
    <w:rsid w:val="00571307"/>
    <w:rsid w:val="00572662"/>
    <w:rsid w:val="005735E2"/>
    <w:rsid w:val="0057465B"/>
    <w:rsid w:val="005765AA"/>
    <w:rsid w:val="00576A79"/>
    <w:rsid w:val="00577A78"/>
    <w:rsid w:val="00577D4C"/>
    <w:rsid w:val="0058322C"/>
    <w:rsid w:val="005863E0"/>
    <w:rsid w:val="00586BC6"/>
    <w:rsid w:val="005872AC"/>
    <w:rsid w:val="005927CB"/>
    <w:rsid w:val="0059401A"/>
    <w:rsid w:val="005A01E2"/>
    <w:rsid w:val="005A3ACC"/>
    <w:rsid w:val="005A5E5E"/>
    <w:rsid w:val="005B0068"/>
    <w:rsid w:val="005B38B7"/>
    <w:rsid w:val="005C561A"/>
    <w:rsid w:val="005C761E"/>
    <w:rsid w:val="005D26C0"/>
    <w:rsid w:val="005D3BBA"/>
    <w:rsid w:val="005D5500"/>
    <w:rsid w:val="005D712F"/>
    <w:rsid w:val="005E11CD"/>
    <w:rsid w:val="005F068A"/>
    <w:rsid w:val="005F07EA"/>
    <w:rsid w:val="005F5F07"/>
    <w:rsid w:val="006029E4"/>
    <w:rsid w:val="006067EF"/>
    <w:rsid w:val="006074AC"/>
    <w:rsid w:val="00610672"/>
    <w:rsid w:val="00610EFC"/>
    <w:rsid w:val="00611CAA"/>
    <w:rsid w:val="006131FD"/>
    <w:rsid w:val="00613FB0"/>
    <w:rsid w:val="006175FF"/>
    <w:rsid w:val="0062259E"/>
    <w:rsid w:val="00624C33"/>
    <w:rsid w:val="00630573"/>
    <w:rsid w:val="00631060"/>
    <w:rsid w:val="006338C7"/>
    <w:rsid w:val="00633A2E"/>
    <w:rsid w:val="006358C5"/>
    <w:rsid w:val="00636D3B"/>
    <w:rsid w:val="00637260"/>
    <w:rsid w:val="006407D7"/>
    <w:rsid w:val="006438FF"/>
    <w:rsid w:val="00647014"/>
    <w:rsid w:val="00650000"/>
    <w:rsid w:val="006502B5"/>
    <w:rsid w:val="00652896"/>
    <w:rsid w:val="00654F0E"/>
    <w:rsid w:val="00656324"/>
    <w:rsid w:val="006565F9"/>
    <w:rsid w:val="00661806"/>
    <w:rsid w:val="006618F8"/>
    <w:rsid w:val="006632BF"/>
    <w:rsid w:val="00663651"/>
    <w:rsid w:val="00663F54"/>
    <w:rsid w:val="0066443C"/>
    <w:rsid w:val="00667F64"/>
    <w:rsid w:val="00670CB2"/>
    <w:rsid w:val="00672A72"/>
    <w:rsid w:val="00672ADC"/>
    <w:rsid w:val="00673108"/>
    <w:rsid w:val="00676CF9"/>
    <w:rsid w:val="00676E5F"/>
    <w:rsid w:val="00680B11"/>
    <w:rsid w:val="00680E98"/>
    <w:rsid w:val="00687483"/>
    <w:rsid w:val="006901E8"/>
    <w:rsid w:val="00690202"/>
    <w:rsid w:val="00690B0E"/>
    <w:rsid w:val="006924C6"/>
    <w:rsid w:val="00692624"/>
    <w:rsid w:val="00692796"/>
    <w:rsid w:val="00692CFB"/>
    <w:rsid w:val="00694E0C"/>
    <w:rsid w:val="00696477"/>
    <w:rsid w:val="006A16C0"/>
    <w:rsid w:val="006A2D7D"/>
    <w:rsid w:val="006A7737"/>
    <w:rsid w:val="006B1F2C"/>
    <w:rsid w:val="006B2523"/>
    <w:rsid w:val="006B654D"/>
    <w:rsid w:val="006C1800"/>
    <w:rsid w:val="006C3236"/>
    <w:rsid w:val="006C389B"/>
    <w:rsid w:val="006C46B0"/>
    <w:rsid w:val="006C76DF"/>
    <w:rsid w:val="006D0742"/>
    <w:rsid w:val="006D0E51"/>
    <w:rsid w:val="006D2835"/>
    <w:rsid w:val="006D2D43"/>
    <w:rsid w:val="006D4285"/>
    <w:rsid w:val="006D4557"/>
    <w:rsid w:val="006D5D98"/>
    <w:rsid w:val="006E31C9"/>
    <w:rsid w:val="006E4C8C"/>
    <w:rsid w:val="00702DF3"/>
    <w:rsid w:val="00705B94"/>
    <w:rsid w:val="007074CF"/>
    <w:rsid w:val="007105F3"/>
    <w:rsid w:val="007108E7"/>
    <w:rsid w:val="007122A1"/>
    <w:rsid w:val="00716038"/>
    <w:rsid w:val="007211CC"/>
    <w:rsid w:val="00727DEA"/>
    <w:rsid w:val="00735192"/>
    <w:rsid w:val="00736928"/>
    <w:rsid w:val="00736EC5"/>
    <w:rsid w:val="00737861"/>
    <w:rsid w:val="007414CC"/>
    <w:rsid w:val="0074202C"/>
    <w:rsid w:val="007427D8"/>
    <w:rsid w:val="00742B8A"/>
    <w:rsid w:val="0074482A"/>
    <w:rsid w:val="0074778D"/>
    <w:rsid w:val="00750C04"/>
    <w:rsid w:val="00750D48"/>
    <w:rsid w:val="007569DE"/>
    <w:rsid w:val="00760DFA"/>
    <w:rsid w:val="00761DD2"/>
    <w:rsid w:val="0076236B"/>
    <w:rsid w:val="0076364B"/>
    <w:rsid w:val="00767187"/>
    <w:rsid w:val="0076722C"/>
    <w:rsid w:val="007708EB"/>
    <w:rsid w:val="00772AB5"/>
    <w:rsid w:val="00773CF1"/>
    <w:rsid w:val="007755B2"/>
    <w:rsid w:val="00775EAC"/>
    <w:rsid w:val="007810E5"/>
    <w:rsid w:val="007815B9"/>
    <w:rsid w:val="0078286B"/>
    <w:rsid w:val="00782E35"/>
    <w:rsid w:val="0078450B"/>
    <w:rsid w:val="00787C73"/>
    <w:rsid w:val="0079254F"/>
    <w:rsid w:val="00792676"/>
    <w:rsid w:val="00792F3C"/>
    <w:rsid w:val="007950EB"/>
    <w:rsid w:val="0079726F"/>
    <w:rsid w:val="007A0DDF"/>
    <w:rsid w:val="007B046F"/>
    <w:rsid w:val="007B3F46"/>
    <w:rsid w:val="007B4DB4"/>
    <w:rsid w:val="007B562F"/>
    <w:rsid w:val="007C36FA"/>
    <w:rsid w:val="007C4E26"/>
    <w:rsid w:val="007C794E"/>
    <w:rsid w:val="007D12F3"/>
    <w:rsid w:val="007D402D"/>
    <w:rsid w:val="007D4F3B"/>
    <w:rsid w:val="007D5367"/>
    <w:rsid w:val="007E0530"/>
    <w:rsid w:val="007E25CE"/>
    <w:rsid w:val="007E59C3"/>
    <w:rsid w:val="007E6542"/>
    <w:rsid w:val="007E7305"/>
    <w:rsid w:val="007F3F7D"/>
    <w:rsid w:val="007F5B8F"/>
    <w:rsid w:val="007F7C01"/>
    <w:rsid w:val="00805C87"/>
    <w:rsid w:val="00813BFE"/>
    <w:rsid w:val="0082179C"/>
    <w:rsid w:val="00824220"/>
    <w:rsid w:val="008252B4"/>
    <w:rsid w:val="0082531F"/>
    <w:rsid w:val="00827BC7"/>
    <w:rsid w:val="008319BC"/>
    <w:rsid w:val="00832BC9"/>
    <w:rsid w:val="00833E03"/>
    <w:rsid w:val="00836481"/>
    <w:rsid w:val="0083747C"/>
    <w:rsid w:val="00837B3B"/>
    <w:rsid w:val="0084064B"/>
    <w:rsid w:val="008439A8"/>
    <w:rsid w:val="0084408B"/>
    <w:rsid w:val="00847616"/>
    <w:rsid w:val="008512C6"/>
    <w:rsid w:val="00854632"/>
    <w:rsid w:val="00857828"/>
    <w:rsid w:val="008623A0"/>
    <w:rsid w:val="008624E6"/>
    <w:rsid w:val="00865ABA"/>
    <w:rsid w:val="00867C18"/>
    <w:rsid w:val="00867C43"/>
    <w:rsid w:val="00870A14"/>
    <w:rsid w:val="00871434"/>
    <w:rsid w:val="008722BC"/>
    <w:rsid w:val="00873074"/>
    <w:rsid w:val="00873262"/>
    <w:rsid w:val="008828E8"/>
    <w:rsid w:val="00884FAA"/>
    <w:rsid w:val="00890CD4"/>
    <w:rsid w:val="00891104"/>
    <w:rsid w:val="0089145F"/>
    <w:rsid w:val="0089198F"/>
    <w:rsid w:val="008938E6"/>
    <w:rsid w:val="00894064"/>
    <w:rsid w:val="008946E2"/>
    <w:rsid w:val="0089519A"/>
    <w:rsid w:val="0089519C"/>
    <w:rsid w:val="00896EB5"/>
    <w:rsid w:val="008A05DC"/>
    <w:rsid w:val="008A3EF7"/>
    <w:rsid w:val="008A747F"/>
    <w:rsid w:val="008A7B17"/>
    <w:rsid w:val="008B3F08"/>
    <w:rsid w:val="008B4015"/>
    <w:rsid w:val="008C02F3"/>
    <w:rsid w:val="008C05C0"/>
    <w:rsid w:val="008C6BE9"/>
    <w:rsid w:val="008C7539"/>
    <w:rsid w:val="008C7C55"/>
    <w:rsid w:val="008C7E54"/>
    <w:rsid w:val="008D2276"/>
    <w:rsid w:val="008D2BDA"/>
    <w:rsid w:val="008D30CC"/>
    <w:rsid w:val="008D37E2"/>
    <w:rsid w:val="008E07DA"/>
    <w:rsid w:val="008E14E4"/>
    <w:rsid w:val="008E3361"/>
    <w:rsid w:val="008E43BD"/>
    <w:rsid w:val="008E4FA4"/>
    <w:rsid w:val="008E5043"/>
    <w:rsid w:val="008E5611"/>
    <w:rsid w:val="008E58E3"/>
    <w:rsid w:val="008E618F"/>
    <w:rsid w:val="008E76FA"/>
    <w:rsid w:val="008F0301"/>
    <w:rsid w:val="008F50BB"/>
    <w:rsid w:val="008F629D"/>
    <w:rsid w:val="00900698"/>
    <w:rsid w:val="00900B13"/>
    <w:rsid w:val="009116E5"/>
    <w:rsid w:val="009126CA"/>
    <w:rsid w:val="00912E24"/>
    <w:rsid w:val="00917136"/>
    <w:rsid w:val="0092063D"/>
    <w:rsid w:val="00921639"/>
    <w:rsid w:val="00923E76"/>
    <w:rsid w:val="00936ABE"/>
    <w:rsid w:val="00937282"/>
    <w:rsid w:val="00937FE5"/>
    <w:rsid w:val="00946532"/>
    <w:rsid w:val="009475D9"/>
    <w:rsid w:val="009477DC"/>
    <w:rsid w:val="00947C2C"/>
    <w:rsid w:val="00950781"/>
    <w:rsid w:val="00950A5C"/>
    <w:rsid w:val="00951E19"/>
    <w:rsid w:val="009521C2"/>
    <w:rsid w:val="00953211"/>
    <w:rsid w:val="00964C30"/>
    <w:rsid w:val="0096639C"/>
    <w:rsid w:val="00970938"/>
    <w:rsid w:val="00970C6E"/>
    <w:rsid w:val="00976053"/>
    <w:rsid w:val="00977BF0"/>
    <w:rsid w:val="00980A9F"/>
    <w:rsid w:val="00981413"/>
    <w:rsid w:val="00981C9F"/>
    <w:rsid w:val="00983709"/>
    <w:rsid w:val="00986E64"/>
    <w:rsid w:val="0099449C"/>
    <w:rsid w:val="009A1AB2"/>
    <w:rsid w:val="009A5D18"/>
    <w:rsid w:val="009B0DF5"/>
    <w:rsid w:val="009B1E7D"/>
    <w:rsid w:val="009B2F9A"/>
    <w:rsid w:val="009B5B04"/>
    <w:rsid w:val="009B771D"/>
    <w:rsid w:val="009C0B2E"/>
    <w:rsid w:val="009C0BDD"/>
    <w:rsid w:val="009C2516"/>
    <w:rsid w:val="009C3551"/>
    <w:rsid w:val="009C3FA5"/>
    <w:rsid w:val="009C7149"/>
    <w:rsid w:val="009D15AC"/>
    <w:rsid w:val="009D1A06"/>
    <w:rsid w:val="009D2C14"/>
    <w:rsid w:val="009D2DBA"/>
    <w:rsid w:val="009D355F"/>
    <w:rsid w:val="009D5D54"/>
    <w:rsid w:val="009D6021"/>
    <w:rsid w:val="009D7DF8"/>
    <w:rsid w:val="009E3FA6"/>
    <w:rsid w:val="009F0BD6"/>
    <w:rsid w:val="009F16A0"/>
    <w:rsid w:val="009F17BF"/>
    <w:rsid w:val="00A00C7D"/>
    <w:rsid w:val="00A06441"/>
    <w:rsid w:val="00A06DFA"/>
    <w:rsid w:val="00A06F1C"/>
    <w:rsid w:val="00A07855"/>
    <w:rsid w:val="00A103B2"/>
    <w:rsid w:val="00A13A83"/>
    <w:rsid w:val="00A14BCE"/>
    <w:rsid w:val="00A16407"/>
    <w:rsid w:val="00A20130"/>
    <w:rsid w:val="00A230D9"/>
    <w:rsid w:val="00A24173"/>
    <w:rsid w:val="00A30C98"/>
    <w:rsid w:val="00A33A2A"/>
    <w:rsid w:val="00A3525C"/>
    <w:rsid w:val="00A353AF"/>
    <w:rsid w:val="00A4225E"/>
    <w:rsid w:val="00A42332"/>
    <w:rsid w:val="00A44081"/>
    <w:rsid w:val="00A44BBA"/>
    <w:rsid w:val="00A44DBB"/>
    <w:rsid w:val="00A467A1"/>
    <w:rsid w:val="00A46983"/>
    <w:rsid w:val="00A516CD"/>
    <w:rsid w:val="00A52717"/>
    <w:rsid w:val="00A52DB3"/>
    <w:rsid w:val="00A5313D"/>
    <w:rsid w:val="00A54384"/>
    <w:rsid w:val="00A545D3"/>
    <w:rsid w:val="00A56618"/>
    <w:rsid w:val="00A60BA8"/>
    <w:rsid w:val="00A6243B"/>
    <w:rsid w:val="00A633AE"/>
    <w:rsid w:val="00A677E8"/>
    <w:rsid w:val="00A75E77"/>
    <w:rsid w:val="00A76578"/>
    <w:rsid w:val="00A77071"/>
    <w:rsid w:val="00A80FA2"/>
    <w:rsid w:val="00A8183B"/>
    <w:rsid w:val="00A8513F"/>
    <w:rsid w:val="00A8522F"/>
    <w:rsid w:val="00A86394"/>
    <w:rsid w:val="00A8763A"/>
    <w:rsid w:val="00A87DE0"/>
    <w:rsid w:val="00A919A7"/>
    <w:rsid w:val="00A92290"/>
    <w:rsid w:val="00A93611"/>
    <w:rsid w:val="00A94967"/>
    <w:rsid w:val="00A95237"/>
    <w:rsid w:val="00A95B35"/>
    <w:rsid w:val="00A96763"/>
    <w:rsid w:val="00A96883"/>
    <w:rsid w:val="00AA0ACC"/>
    <w:rsid w:val="00AA1BEC"/>
    <w:rsid w:val="00AB2628"/>
    <w:rsid w:val="00AB391E"/>
    <w:rsid w:val="00AB6260"/>
    <w:rsid w:val="00AB6D7C"/>
    <w:rsid w:val="00AC2B22"/>
    <w:rsid w:val="00AC2FC1"/>
    <w:rsid w:val="00AD143E"/>
    <w:rsid w:val="00AD47C8"/>
    <w:rsid w:val="00AD4CA4"/>
    <w:rsid w:val="00AD6256"/>
    <w:rsid w:val="00AD7611"/>
    <w:rsid w:val="00AE0352"/>
    <w:rsid w:val="00AE1F9E"/>
    <w:rsid w:val="00AE383E"/>
    <w:rsid w:val="00AE7D3D"/>
    <w:rsid w:val="00AF11F9"/>
    <w:rsid w:val="00AF2225"/>
    <w:rsid w:val="00AF37BE"/>
    <w:rsid w:val="00AF536D"/>
    <w:rsid w:val="00AF5758"/>
    <w:rsid w:val="00AF589B"/>
    <w:rsid w:val="00B00068"/>
    <w:rsid w:val="00B009C9"/>
    <w:rsid w:val="00B0231F"/>
    <w:rsid w:val="00B05906"/>
    <w:rsid w:val="00B11677"/>
    <w:rsid w:val="00B137BF"/>
    <w:rsid w:val="00B17893"/>
    <w:rsid w:val="00B21DE3"/>
    <w:rsid w:val="00B2243D"/>
    <w:rsid w:val="00B22667"/>
    <w:rsid w:val="00B23298"/>
    <w:rsid w:val="00B23D0C"/>
    <w:rsid w:val="00B26EA7"/>
    <w:rsid w:val="00B27488"/>
    <w:rsid w:val="00B305F5"/>
    <w:rsid w:val="00B33485"/>
    <w:rsid w:val="00B345C2"/>
    <w:rsid w:val="00B34CCF"/>
    <w:rsid w:val="00B366C1"/>
    <w:rsid w:val="00B366F2"/>
    <w:rsid w:val="00B36C14"/>
    <w:rsid w:val="00B40101"/>
    <w:rsid w:val="00B41365"/>
    <w:rsid w:val="00B41FA9"/>
    <w:rsid w:val="00B4288B"/>
    <w:rsid w:val="00B4490A"/>
    <w:rsid w:val="00B45C62"/>
    <w:rsid w:val="00B52FD5"/>
    <w:rsid w:val="00B55327"/>
    <w:rsid w:val="00B62352"/>
    <w:rsid w:val="00B6476D"/>
    <w:rsid w:val="00B739DB"/>
    <w:rsid w:val="00B801B7"/>
    <w:rsid w:val="00B80DE8"/>
    <w:rsid w:val="00B87BA0"/>
    <w:rsid w:val="00B94CCC"/>
    <w:rsid w:val="00BA4ACF"/>
    <w:rsid w:val="00BA70FD"/>
    <w:rsid w:val="00BB061E"/>
    <w:rsid w:val="00BB0A4F"/>
    <w:rsid w:val="00BB0A6D"/>
    <w:rsid w:val="00BB1F4D"/>
    <w:rsid w:val="00BB587B"/>
    <w:rsid w:val="00BC0A3F"/>
    <w:rsid w:val="00BC1623"/>
    <w:rsid w:val="00BC394D"/>
    <w:rsid w:val="00BC5C8A"/>
    <w:rsid w:val="00BD0967"/>
    <w:rsid w:val="00BD2114"/>
    <w:rsid w:val="00BD2BAC"/>
    <w:rsid w:val="00BD4AC4"/>
    <w:rsid w:val="00BD4F88"/>
    <w:rsid w:val="00BD50C5"/>
    <w:rsid w:val="00BE5D3F"/>
    <w:rsid w:val="00BF0844"/>
    <w:rsid w:val="00BF1522"/>
    <w:rsid w:val="00BF282C"/>
    <w:rsid w:val="00C0245F"/>
    <w:rsid w:val="00C031E7"/>
    <w:rsid w:val="00C036CA"/>
    <w:rsid w:val="00C0535D"/>
    <w:rsid w:val="00C05DD9"/>
    <w:rsid w:val="00C15171"/>
    <w:rsid w:val="00C15184"/>
    <w:rsid w:val="00C17E35"/>
    <w:rsid w:val="00C205E2"/>
    <w:rsid w:val="00C207A2"/>
    <w:rsid w:val="00C21E9F"/>
    <w:rsid w:val="00C23AE9"/>
    <w:rsid w:val="00C24CE7"/>
    <w:rsid w:val="00C25F7A"/>
    <w:rsid w:val="00C31A42"/>
    <w:rsid w:val="00C31B11"/>
    <w:rsid w:val="00C34AD7"/>
    <w:rsid w:val="00C376BA"/>
    <w:rsid w:val="00C50937"/>
    <w:rsid w:val="00C5401B"/>
    <w:rsid w:val="00C57BAD"/>
    <w:rsid w:val="00C612AA"/>
    <w:rsid w:val="00C65364"/>
    <w:rsid w:val="00C70732"/>
    <w:rsid w:val="00C72022"/>
    <w:rsid w:val="00C727F8"/>
    <w:rsid w:val="00C72D87"/>
    <w:rsid w:val="00C735FF"/>
    <w:rsid w:val="00C74CCE"/>
    <w:rsid w:val="00C759CA"/>
    <w:rsid w:val="00C8029E"/>
    <w:rsid w:val="00C802BF"/>
    <w:rsid w:val="00C803AE"/>
    <w:rsid w:val="00C8343B"/>
    <w:rsid w:val="00C87D13"/>
    <w:rsid w:val="00C90ABD"/>
    <w:rsid w:val="00C91A63"/>
    <w:rsid w:val="00C9291D"/>
    <w:rsid w:val="00C929A2"/>
    <w:rsid w:val="00C93580"/>
    <w:rsid w:val="00C93BCA"/>
    <w:rsid w:val="00C93EC4"/>
    <w:rsid w:val="00C96D94"/>
    <w:rsid w:val="00C9783C"/>
    <w:rsid w:val="00C97990"/>
    <w:rsid w:val="00CA1982"/>
    <w:rsid w:val="00CA2DE5"/>
    <w:rsid w:val="00CB1A9C"/>
    <w:rsid w:val="00CB2616"/>
    <w:rsid w:val="00CB343A"/>
    <w:rsid w:val="00CB3BDD"/>
    <w:rsid w:val="00CC04DC"/>
    <w:rsid w:val="00CC2123"/>
    <w:rsid w:val="00CC321D"/>
    <w:rsid w:val="00CC6A24"/>
    <w:rsid w:val="00CD09B8"/>
    <w:rsid w:val="00CD296B"/>
    <w:rsid w:val="00CD3F70"/>
    <w:rsid w:val="00CD42D5"/>
    <w:rsid w:val="00CD624D"/>
    <w:rsid w:val="00CE08B6"/>
    <w:rsid w:val="00CE33FE"/>
    <w:rsid w:val="00CE3586"/>
    <w:rsid w:val="00CE5328"/>
    <w:rsid w:val="00CE574A"/>
    <w:rsid w:val="00CE6E9C"/>
    <w:rsid w:val="00CE72DB"/>
    <w:rsid w:val="00CE7F94"/>
    <w:rsid w:val="00CF2E42"/>
    <w:rsid w:val="00CF4886"/>
    <w:rsid w:val="00D00BE8"/>
    <w:rsid w:val="00D04447"/>
    <w:rsid w:val="00D06B34"/>
    <w:rsid w:val="00D1098B"/>
    <w:rsid w:val="00D112DA"/>
    <w:rsid w:val="00D12253"/>
    <w:rsid w:val="00D15A2C"/>
    <w:rsid w:val="00D232CF"/>
    <w:rsid w:val="00D27F40"/>
    <w:rsid w:val="00D3072E"/>
    <w:rsid w:val="00D30D8F"/>
    <w:rsid w:val="00D31D82"/>
    <w:rsid w:val="00D32BBF"/>
    <w:rsid w:val="00D3497E"/>
    <w:rsid w:val="00D34F9E"/>
    <w:rsid w:val="00D3526B"/>
    <w:rsid w:val="00D37D13"/>
    <w:rsid w:val="00D40227"/>
    <w:rsid w:val="00D40C4F"/>
    <w:rsid w:val="00D426CF"/>
    <w:rsid w:val="00D434F0"/>
    <w:rsid w:val="00D46D3A"/>
    <w:rsid w:val="00D53A35"/>
    <w:rsid w:val="00D556EA"/>
    <w:rsid w:val="00D56AB0"/>
    <w:rsid w:val="00D61062"/>
    <w:rsid w:val="00D64D01"/>
    <w:rsid w:val="00D651E1"/>
    <w:rsid w:val="00D66453"/>
    <w:rsid w:val="00D70FC0"/>
    <w:rsid w:val="00D70FE9"/>
    <w:rsid w:val="00D7408C"/>
    <w:rsid w:val="00D748F7"/>
    <w:rsid w:val="00D7564D"/>
    <w:rsid w:val="00D75A61"/>
    <w:rsid w:val="00D76EB0"/>
    <w:rsid w:val="00D84E6B"/>
    <w:rsid w:val="00D86A80"/>
    <w:rsid w:val="00D87917"/>
    <w:rsid w:val="00D93107"/>
    <w:rsid w:val="00D9393E"/>
    <w:rsid w:val="00DA0575"/>
    <w:rsid w:val="00DA25D0"/>
    <w:rsid w:val="00DA2715"/>
    <w:rsid w:val="00DA703F"/>
    <w:rsid w:val="00DA7C1D"/>
    <w:rsid w:val="00DB28D0"/>
    <w:rsid w:val="00DC17D6"/>
    <w:rsid w:val="00DD0C9F"/>
    <w:rsid w:val="00DD15F2"/>
    <w:rsid w:val="00DD3D8E"/>
    <w:rsid w:val="00DD6B60"/>
    <w:rsid w:val="00DE1145"/>
    <w:rsid w:val="00DE157C"/>
    <w:rsid w:val="00DE4E9E"/>
    <w:rsid w:val="00DF1081"/>
    <w:rsid w:val="00DF6294"/>
    <w:rsid w:val="00E01F77"/>
    <w:rsid w:val="00E03AEB"/>
    <w:rsid w:val="00E0598E"/>
    <w:rsid w:val="00E05E08"/>
    <w:rsid w:val="00E06BE8"/>
    <w:rsid w:val="00E14335"/>
    <w:rsid w:val="00E16950"/>
    <w:rsid w:val="00E1729C"/>
    <w:rsid w:val="00E20BB4"/>
    <w:rsid w:val="00E225CF"/>
    <w:rsid w:val="00E27CDE"/>
    <w:rsid w:val="00E31717"/>
    <w:rsid w:val="00E3355D"/>
    <w:rsid w:val="00E33D19"/>
    <w:rsid w:val="00E34381"/>
    <w:rsid w:val="00E35CA4"/>
    <w:rsid w:val="00E37342"/>
    <w:rsid w:val="00E40B73"/>
    <w:rsid w:val="00E454B6"/>
    <w:rsid w:val="00E46DF0"/>
    <w:rsid w:val="00E519B3"/>
    <w:rsid w:val="00E53644"/>
    <w:rsid w:val="00E54BF5"/>
    <w:rsid w:val="00E574FE"/>
    <w:rsid w:val="00E60021"/>
    <w:rsid w:val="00E60C84"/>
    <w:rsid w:val="00E60E48"/>
    <w:rsid w:val="00E611B0"/>
    <w:rsid w:val="00E61B39"/>
    <w:rsid w:val="00E6324A"/>
    <w:rsid w:val="00E65F4E"/>
    <w:rsid w:val="00E67353"/>
    <w:rsid w:val="00E7483E"/>
    <w:rsid w:val="00E8355B"/>
    <w:rsid w:val="00E96E3C"/>
    <w:rsid w:val="00E96EB6"/>
    <w:rsid w:val="00EA3632"/>
    <w:rsid w:val="00EA3A9E"/>
    <w:rsid w:val="00EA46A6"/>
    <w:rsid w:val="00EA57F1"/>
    <w:rsid w:val="00EB469C"/>
    <w:rsid w:val="00EB6E37"/>
    <w:rsid w:val="00EB6ECC"/>
    <w:rsid w:val="00EB7DD6"/>
    <w:rsid w:val="00EC6E77"/>
    <w:rsid w:val="00ED0D38"/>
    <w:rsid w:val="00ED15AE"/>
    <w:rsid w:val="00ED2CB6"/>
    <w:rsid w:val="00ED3C69"/>
    <w:rsid w:val="00ED4C35"/>
    <w:rsid w:val="00ED760A"/>
    <w:rsid w:val="00ED7708"/>
    <w:rsid w:val="00EE0421"/>
    <w:rsid w:val="00EE4B5F"/>
    <w:rsid w:val="00EE70DF"/>
    <w:rsid w:val="00EF2083"/>
    <w:rsid w:val="00EF2D96"/>
    <w:rsid w:val="00EF2F4F"/>
    <w:rsid w:val="00EF3C05"/>
    <w:rsid w:val="00EF4C1A"/>
    <w:rsid w:val="00EF5176"/>
    <w:rsid w:val="00EF556B"/>
    <w:rsid w:val="00F001BC"/>
    <w:rsid w:val="00F018ED"/>
    <w:rsid w:val="00F02C59"/>
    <w:rsid w:val="00F033D5"/>
    <w:rsid w:val="00F038B5"/>
    <w:rsid w:val="00F047F7"/>
    <w:rsid w:val="00F065C2"/>
    <w:rsid w:val="00F14AAC"/>
    <w:rsid w:val="00F15417"/>
    <w:rsid w:val="00F24990"/>
    <w:rsid w:val="00F30D7D"/>
    <w:rsid w:val="00F31270"/>
    <w:rsid w:val="00F31C0A"/>
    <w:rsid w:val="00F31DA7"/>
    <w:rsid w:val="00F32CF0"/>
    <w:rsid w:val="00F32F8D"/>
    <w:rsid w:val="00F33D83"/>
    <w:rsid w:val="00F34A17"/>
    <w:rsid w:val="00F35455"/>
    <w:rsid w:val="00F418D7"/>
    <w:rsid w:val="00F41BFA"/>
    <w:rsid w:val="00F42C16"/>
    <w:rsid w:val="00F46228"/>
    <w:rsid w:val="00F4646C"/>
    <w:rsid w:val="00F50A10"/>
    <w:rsid w:val="00F52D32"/>
    <w:rsid w:val="00F53086"/>
    <w:rsid w:val="00F530A5"/>
    <w:rsid w:val="00F53CFD"/>
    <w:rsid w:val="00F55DB0"/>
    <w:rsid w:val="00F56225"/>
    <w:rsid w:val="00F56ECB"/>
    <w:rsid w:val="00F636F5"/>
    <w:rsid w:val="00F643A5"/>
    <w:rsid w:val="00F660AB"/>
    <w:rsid w:val="00F66140"/>
    <w:rsid w:val="00F70093"/>
    <w:rsid w:val="00F728E4"/>
    <w:rsid w:val="00F73A16"/>
    <w:rsid w:val="00F7689C"/>
    <w:rsid w:val="00F76C1A"/>
    <w:rsid w:val="00F8328C"/>
    <w:rsid w:val="00F85C14"/>
    <w:rsid w:val="00F900F0"/>
    <w:rsid w:val="00F9093C"/>
    <w:rsid w:val="00F929C0"/>
    <w:rsid w:val="00F93448"/>
    <w:rsid w:val="00F934C2"/>
    <w:rsid w:val="00F93746"/>
    <w:rsid w:val="00F9594F"/>
    <w:rsid w:val="00F95F95"/>
    <w:rsid w:val="00F9793F"/>
    <w:rsid w:val="00FA344F"/>
    <w:rsid w:val="00FA63DA"/>
    <w:rsid w:val="00FA7EF5"/>
    <w:rsid w:val="00FB0C9F"/>
    <w:rsid w:val="00FB32FB"/>
    <w:rsid w:val="00FB3811"/>
    <w:rsid w:val="00FB4BC5"/>
    <w:rsid w:val="00FC061B"/>
    <w:rsid w:val="00FC0DF8"/>
    <w:rsid w:val="00FC2EE8"/>
    <w:rsid w:val="00FC31E6"/>
    <w:rsid w:val="00FC4EED"/>
    <w:rsid w:val="00FC5423"/>
    <w:rsid w:val="00FD2868"/>
    <w:rsid w:val="00FD2895"/>
    <w:rsid w:val="00FD2BC3"/>
    <w:rsid w:val="00FE2B7B"/>
    <w:rsid w:val="00FE5932"/>
    <w:rsid w:val="00FF3F2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22FAA1"/>
  <w15:docId w15:val="{994818A3-BBCB-4483-A4C2-2B3D1974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F8"/>
  </w:style>
  <w:style w:type="paragraph" w:styleId="Footer">
    <w:name w:val="footer"/>
    <w:basedOn w:val="Normal"/>
    <w:link w:val="FooterChar"/>
    <w:uiPriority w:val="99"/>
    <w:unhideWhenUsed/>
    <w:rsid w:val="001D0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F8"/>
  </w:style>
  <w:style w:type="paragraph" w:styleId="ListParagraph">
    <w:name w:val="List Paragraph"/>
    <w:basedOn w:val="Normal"/>
    <w:uiPriority w:val="34"/>
    <w:qFormat/>
    <w:rsid w:val="0014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bgcacadiana-my.sharepoint.com/personal/rmeaux_bgcacadiana_com/Documents/Documents/Riley/Audit/2020/MDA%20Graphs%202020%20BGC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bgcacadiana-my.sharepoint.com/personal/rmeaux_bgcacadiana_com/Documents/Documents/Riley/Audit/2020/MDA%20Graphs%202020%20BGC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gcacadiana-my.sharepoint.com/personal/rmeaux_bgcacadiana_com/Documents/Documents/Riley/Audit/2020/MDA%20Graphs%202020%20BGC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bgcacadiana-my.sharepoint.com/personal/rmeaux_bgcacadiana_com/Documents/Documents/Riley/Audit/2020/MDA%20Graphs%202020%20BG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'2020'!$A$4</c:f>
              <c:strCache>
                <c:ptCount val="1"/>
                <c:pt idx="0">
                  <c:v>Capital Assets</c:v>
                </c:pt>
              </c:strCache>
            </c:strRef>
          </c:tx>
          <c:spPr>
            <a:solidFill>
              <a:srgbClr val="0081C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'2020'!$B$1:$F$1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'2020'!$B$4:$F$4</c:f>
              <c:numCache>
                <c:formatCode>_(* #,##0_);_(* \(#,##0\);_(* "-"??_);_(@_)</c:formatCode>
                <c:ptCount val="5"/>
                <c:pt idx="0">
                  <c:v>947</c:v>
                </c:pt>
                <c:pt idx="1">
                  <c:v>906</c:v>
                </c:pt>
                <c:pt idx="2">
                  <c:v>866</c:v>
                </c:pt>
                <c:pt idx="3">
                  <c:v>829</c:v>
                </c:pt>
                <c:pt idx="4">
                  <c:v>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28-4199-AEFB-F0C0CE798216}"/>
            </c:ext>
          </c:extLst>
        </c:ser>
        <c:ser>
          <c:idx val="2"/>
          <c:order val="1"/>
          <c:tx>
            <c:strRef>
              <c:f>'2020'!$A$5</c:f>
              <c:strCache>
                <c:ptCount val="1"/>
                <c:pt idx="0">
                  <c:v>Other Assets</c:v>
                </c:pt>
              </c:strCache>
            </c:strRef>
          </c:tx>
          <c:spPr>
            <a:solidFill>
              <a:srgbClr val="FF8200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'2020'!$B$1:$F$1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'2020'!$B$5:$F$5</c:f>
              <c:numCache>
                <c:formatCode>_(* #,##0_);_(* \(#,##0\);_(* "-"??_);_(@_)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28-4199-AEFB-F0C0CE798216}"/>
            </c:ext>
          </c:extLst>
        </c:ser>
        <c:ser>
          <c:idx val="0"/>
          <c:order val="2"/>
          <c:tx>
            <c:strRef>
              <c:f>'2020'!$A$3</c:f>
              <c:strCache>
                <c:ptCount val="1"/>
                <c:pt idx="0">
                  <c:v>Current Assets</c:v>
                </c:pt>
              </c:strCache>
            </c:strRef>
          </c:tx>
          <c:spPr>
            <a:solidFill>
              <a:srgbClr val="84BD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0095911155981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2A-4029-A115-908CB4AEEF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'2020'!$B$1:$F$1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'2020'!$B$3:$F$3</c:f>
              <c:numCache>
                <c:formatCode>_(* #,##0_);_(* \(#,##0\);_(* "-"??_);_(@_)</c:formatCode>
                <c:ptCount val="5"/>
                <c:pt idx="0">
                  <c:v>173</c:v>
                </c:pt>
                <c:pt idx="1">
                  <c:v>374</c:v>
                </c:pt>
                <c:pt idx="2">
                  <c:v>375</c:v>
                </c:pt>
                <c:pt idx="3">
                  <c:v>505</c:v>
                </c:pt>
                <c:pt idx="4">
                  <c:v>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28-4199-AEFB-F0C0CE798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7191784"/>
        <c:axId val="147192176"/>
      </c:barChart>
      <c:lineChart>
        <c:grouping val="standard"/>
        <c:varyColors val="0"/>
        <c:ser>
          <c:idx val="3"/>
          <c:order val="3"/>
          <c:tx>
            <c:strRef>
              <c:f>'2020'!$A$6</c:f>
              <c:strCache>
                <c:ptCount val="1"/>
                <c:pt idx="0">
                  <c:v>Total Assets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7034797639034678E-2"/>
                  <c:y val="-6.1092981751839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2A-4029-A115-908CB4AEEF9F}"/>
                </c:ext>
              </c:extLst>
            </c:dLbl>
            <c:dLbl>
              <c:idx val="1"/>
              <c:layout>
                <c:manualLayout>
                  <c:x val="-5.0541887736135986E-2"/>
                  <c:y val="-3.4901816634100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28-4199-AEFB-F0C0CE798216}"/>
                </c:ext>
              </c:extLst>
            </c:dLbl>
            <c:dLbl>
              <c:idx val="2"/>
              <c:layout>
                <c:manualLayout>
                  <c:x val="-5.9456398317082867E-2"/>
                  <c:y val="-4.090115943987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2A-4029-A115-908CB4AEEF9F}"/>
                </c:ext>
              </c:extLst>
            </c:dLbl>
            <c:dLbl>
              <c:idx val="3"/>
              <c:layout>
                <c:manualLayout>
                  <c:x val="-5.7034797639034678E-2"/>
                  <c:y val="-5.0997070595857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2A-4029-A115-908CB4AEEF9F}"/>
                </c:ext>
              </c:extLst>
            </c:dLbl>
            <c:dLbl>
              <c:idx val="4"/>
              <c:layout>
                <c:manualLayout>
                  <c:x val="-6.2649860376606581E-2"/>
                  <c:y val="-2.48943705358384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28-4199-AEFB-F0C0CE798216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'2020'!$B$6:$F$6</c:f>
              <c:numCache>
                <c:formatCode>_("$"* #,##0_);_("$"* \(#,##0\);_("$"* "-"??_);_(@_)</c:formatCode>
                <c:ptCount val="5"/>
                <c:pt idx="0">
                  <c:v>1121</c:v>
                </c:pt>
                <c:pt idx="1">
                  <c:v>1281</c:v>
                </c:pt>
                <c:pt idx="2">
                  <c:v>1242</c:v>
                </c:pt>
                <c:pt idx="3">
                  <c:v>1335</c:v>
                </c:pt>
                <c:pt idx="4">
                  <c:v>1886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528-4199-AEFB-F0C0CE798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91784"/>
        <c:axId val="147192176"/>
      </c:lineChart>
      <c:catAx>
        <c:axId val="147191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192176"/>
        <c:crosses val="autoZero"/>
        <c:auto val="1"/>
        <c:lblAlgn val="ctr"/>
        <c:lblOffset val="100"/>
        <c:noMultiLvlLbl val="0"/>
      </c:catAx>
      <c:valAx>
        <c:axId val="147192176"/>
        <c:scaling>
          <c:orientation val="minMax"/>
        </c:scaling>
        <c:delete val="0"/>
        <c:axPos val="l"/>
        <c:majorGridlines/>
        <c:numFmt formatCode="&quot;$&quot;#,##0" sourceLinked="0"/>
        <c:majorTickMark val="out"/>
        <c:minorTickMark val="none"/>
        <c:tickLblPos val="nextTo"/>
        <c:crossAx val="147191784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'2020'!$A$9</c:f>
              <c:strCache>
                <c:ptCount val="1"/>
                <c:pt idx="0">
                  <c:v>Net Assets</c:v>
                </c:pt>
              </c:strCache>
            </c:strRef>
          </c:tx>
          <c:spPr>
            <a:solidFill>
              <a:srgbClr val="0081C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'2020'!$B$1:$F$1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'2020'!$B$9:$F$9</c:f>
              <c:numCache>
                <c:formatCode>_(* #,##0_);_(* \(#,##0\);_(* "-"??_);_(@_)</c:formatCode>
                <c:ptCount val="5"/>
                <c:pt idx="0">
                  <c:v>1080</c:v>
                </c:pt>
                <c:pt idx="1">
                  <c:v>1226</c:v>
                </c:pt>
                <c:pt idx="2">
                  <c:v>1191</c:v>
                </c:pt>
                <c:pt idx="3">
                  <c:v>1306</c:v>
                </c:pt>
                <c:pt idx="4">
                  <c:v>1463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13-4F30-AB59-DEA75F918023}"/>
            </c:ext>
          </c:extLst>
        </c:ser>
        <c:ser>
          <c:idx val="1"/>
          <c:order val="1"/>
          <c:tx>
            <c:strRef>
              <c:f>'2020'!$A$8</c:f>
              <c:strCache>
                <c:ptCount val="1"/>
                <c:pt idx="0">
                  <c:v>Long Term Liabilities</c:v>
                </c:pt>
              </c:strCache>
            </c:strRef>
          </c:tx>
          <c:spPr>
            <a:solidFill>
              <a:srgbClr val="FF82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'2020'!$B$1:$F$1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'2020'!$B$8:$F$8</c:f>
              <c:numCache>
                <c:formatCode>_(* #,##0_);_(* \(#,##0\);_(* "-"??_);_(@_)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13-4F30-AB59-DEA75F918023}"/>
            </c:ext>
          </c:extLst>
        </c:ser>
        <c:ser>
          <c:idx val="0"/>
          <c:order val="2"/>
          <c:tx>
            <c:strRef>
              <c:f>'2020'!$A$7</c:f>
              <c:strCache>
                <c:ptCount val="1"/>
                <c:pt idx="0">
                  <c:v>Current Liabilities</c:v>
                </c:pt>
              </c:strCache>
            </c:strRef>
          </c:tx>
          <c:spPr>
            <a:solidFill>
              <a:srgbClr val="84BD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5186028853454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B13-4F30-AB59-DEA75F918023}"/>
                </c:ext>
              </c:extLst>
            </c:dLbl>
            <c:dLbl>
              <c:idx val="1"/>
              <c:layout>
                <c:manualLayout>
                  <c:x val="0"/>
                  <c:y val="1.0124019235636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13-4F30-AB59-DEA75F918023}"/>
                </c:ext>
              </c:extLst>
            </c:dLbl>
            <c:dLbl>
              <c:idx val="2"/>
              <c:layout>
                <c:manualLayout>
                  <c:x val="-2.4216006780482342E-3"/>
                  <c:y val="2.0248038471273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B13-4F30-AB59-DEA75F918023}"/>
                </c:ext>
              </c:extLst>
            </c:dLbl>
            <c:dLbl>
              <c:idx val="3"/>
              <c:layout>
                <c:manualLayout>
                  <c:x val="4.8432013560962906E-3"/>
                  <c:y val="2.0248038471273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13-4F30-AB59-DEA75F9180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'2020'!$B$1:$F$1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'2020'!$B$7:$F$7</c:f>
              <c:numCache>
                <c:formatCode>_(* #,##0_);_(* \(#,##0\);_(* "-"??_);_(@_)</c:formatCode>
                <c:ptCount val="5"/>
                <c:pt idx="0">
                  <c:v>41</c:v>
                </c:pt>
                <c:pt idx="1">
                  <c:v>55</c:v>
                </c:pt>
                <c:pt idx="2">
                  <c:v>51</c:v>
                </c:pt>
                <c:pt idx="3">
                  <c:v>29</c:v>
                </c:pt>
                <c:pt idx="4">
                  <c:v>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13-4F30-AB59-DEA75F91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7192960"/>
        <c:axId val="147193352"/>
      </c:barChart>
      <c:lineChart>
        <c:grouping val="standard"/>
        <c:varyColors val="0"/>
        <c:ser>
          <c:idx val="2"/>
          <c:order val="3"/>
          <c:tx>
            <c:v>Total Liabilites and Net Assets</c:v>
          </c:tx>
          <c:marker>
            <c:symbol val="none"/>
          </c:marker>
          <c:dPt>
            <c:idx val="1"/>
            <c:bubble3D val="0"/>
            <c:spPr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0B13-4F30-AB59-DEA75F918023}"/>
              </c:ext>
            </c:extLst>
          </c:dPt>
          <c:dPt>
            <c:idx val="2"/>
            <c:bubble3D val="0"/>
            <c:spPr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6-0B13-4F30-AB59-DEA75F918023}"/>
              </c:ext>
            </c:extLst>
          </c:dPt>
          <c:dPt>
            <c:idx val="3"/>
            <c:bubble3D val="0"/>
            <c:spPr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8-0B13-4F30-AB59-DEA75F918023}"/>
              </c:ext>
            </c:extLst>
          </c:dPt>
          <c:dPt>
            <c:idx val="4"/>
            <c:bubble3D val="0"/>
            <c:spPr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A-0B13-4F30-AB59-DEA75F918023}"/>
              </c:ext>
            </c:extLst>
          </c:dPt>
          <c:dLbls>
            <c:dLbl>
              <c:idx val="2"/>
              <c:layout>
                <c:manualLayout>
                  <c:x val="-5.7034797639034719E-2"/>
                  <c:y val="-4.60770421920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13-4F30-AB59-DEA75F918023}"/>
                </c:ext>
              </c:extLst>
            </c:dLbl>
            <c:dLbl>
              <c:idx val="4"/>
              <c:layout>
                <c:manualLayout>
                  <c:x val="-5.7201068173779401E-2"/>
                  <c:y val="-2.8851063320957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B13-4F30-AB59-DEA75F918023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'2020'!$B$6:$F$6</c:f>
              <c:numCache>
                <c:formatCode>_("$"* #,##0_);_("$"* \(#,##0\);_("$"* "-"??_);_(@_)</c:formatCode>
                <c:ptCount val="5"/>
                <c:pt idx="0">
                  <c:v>1121</c:v>
                </c:pt>
                <c:pt idx="1">
                  <c:v>1281</c:v>
                </c:pt>
                <c:pt idx="2">
                  <c:v>1242</c:v>
                </c:pt>
                <c:pt idx="3">
                  <c:v>1335</c:v>
                </c:pt>
                <c:pt idx="4">
                  <c:v>1886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B13-4F30-AB59-DEA75F91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92960"/>
        <c:axId val="147193352"/>
      </c:lineChart>
      <c:catAx>
        <c:axId val="14719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193352"/>
        <c:crosses val="autoZero"/>
        <c:auto val="1"/>
        <c:lblAlgn val="ctr"/>
        <c:lblOffset val="100"/>
        <c:noMultiLvlLbl val="0"/>
      </c:catAx>
      <c:valAx>
        <c:axId val="147193352"/>
        <c:scaling>
          <c:orientation val="minMax"/>
        </c:scaling>
        <c:delete val="0"/>
        <c:axPos val="l"/>
        <c:majorGridlines/>
        <c:numFmt formatCode="&quot;$&quot;#,##0" sourceLinked="0"/>
        <c:majorTickMark val="out"/>
        <c:minorTickMark val="none"/>
        <c:tickLblPos val="nextTo"/>
        <c:crossAx val="147192960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4129483814523"/>
          <c:y val="4.8025871766029245E-2"/>
          <c:w val="0.58788779527559054"/>
          <c:h val="0.85653105861767365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'2020'!$A$45</c:f>
              <c:strCache>
                <c:ptCount val="1"/>
                <c:pt idx="0">
                  <c:v>Other Revenue</c:v>
                </c:pt>
              </c:strCache>
            </c:strRef>
          </c:tx>
          <c:spPr>
            <a:solidFill>
              <a:srgbClr val="FF8200"/>
            </a:solidFill>
          </c:spPr>
          <c:invertIfNegative val="0"/>
          <c:dLbls>
            <c:dLbl>
              <c:idx val="4"/>
              <c:layout>
                <c:manualLayout>
                  <c:x val="0"/>
                  <c:y val="-1.6107389359991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EE-4A5D-9F3C-0BCBE43457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'2020'!$B$40:$F$40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'2020'!$B$45:$F$45</c:f>
              <c:numCache>
                <c:formatCode>_(* #,##0_);_(* \(#,##0\);_(* "-"??_);_(@_)</c:formatCode>
                <c:ptCount val="5"/>
                <c:pt idx="0">
                  <c:v>210</c:v>
                </c:pt>
                <c:pt idx="1">
                  <c:v>422</c:v>
                </c:pt>
                <c:pt idx="2">
                  <c:v>141</c:v>
                </c:pt>
                <c:pt idx="3">
                  <c:v>122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EE-4A5D-9F3C-0BCBE43457AA}"/>
            </c:ext>
          </c:extLst>
        </c:ser>
        <c:ser>
          <c:idx val="4"/>
          <c:order val="1"/>
          <c:tx>
            <c:strRef>
              <c:f>'2020'!$A$44</c:f>
              <c:strCache>
                <c:ptCount val="1"/>
                <c:pt idx="0">
                  <c:v>In-Kind Revenue</c:v>
                </c:pt>
              </c:strCache>
            </c:strRef>
          </c:tx>
          <c:spPr>
            <a:solidFill>
              <a:srgbClr val="84BD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'2020'!$B$40:$F$40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'2020'!$B$44:$F$44</c:f>
              <c:numCache>
                <c:formatCode>_(* #,##0_);_(* \(#,##0\);_(* "-"??_);_(@_)</c:formatCode>
                <c:ptCount val="5"/>
                <c:pt idx="0">
                  <c:v>432</c:v>
                </c:pt>
                <c:pt idx="1">
                  <c:v>501</c:v>
                </c:pt>
                <c:pt idx="2">
                  <c:v>382</c:v>
                </c:pt>
                <c:pt idx="3">
                  <c:v>369</c:v>
                </c:pt>
                <c:pt idx="4">
                  <c:v>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EE-4A5D-9F3C-0BCBE43457AA}"/>
            </c:ext>
          </c:extLst>
        </c:ser>
        <c:ser>
          <c:idx val="5"/>
          <c:order val="2"/>
          <c:tx>
            <c:strRef>
              <c:f>'2020'!$A$43</c:f>
              <c:strCache>
                <c:ptCount val="1"/>
                <c:pt idx="0">
                  <c:v>Event Revenue</c:v>
                </c:pt>
              </c:strCache>
            </c:strRef>
          </c:tx>
          <c:spPr>
            <a:solidFill>
              <a:srgbClr val="53565A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'2020'!$B$43:$F$43</c:f>
              <c:numCache>
                <c:formatCode>_(* #,##0_);_(* \(#,##0\);_(* "-"??_);_(@_)</c:formatCode>
                <c:ptCount val="5"/>
                <c:pt idx="0">
                  <c:v>483</c:v>
                </c:pt>
                <c:pt idx="1">
                  <c:v>697</c:v>
                </c:pt>
                <c:pt idx="2">
                  <c:v>621</c:v>
                </c:pt>
                <c:pt idx="3">
                  <c:v>602</c:v>
                </c:pt>
                <c:pt idx="4">
                  <c:v>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EE-4A5D-9F3C-0BCBE43457AA}"/>
            </c:ext>
          </c:extLst>
        </c:ser>
        <c:ser>
          <c:idx val="1"/>
          <c:order val="3"/>
          <c:tx>
            <c:strRef>
              <c:f>'2020'!$A$42</c:f>
              <c:strCache>
                <c:ptCount val="1"/>
                <c:pt idx="0">
                  <c:v>Grant Revenue</c:v>
                </c:pt>
              </c:strCache>
            </c:strRef>
          </c:tx>
          <c:spPr>
            <a:solidFill>
              <a:srgbClr val="9B26B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'2020'!$B$40:$F$40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'2020'!$B$42:$F$42</c:f>
              <c:numCache>
                <c:formatCode>_(* #,##0_);_(* \(#,##0\);_(* "-"??_);_(@_)</c:formatCode>
                <c:ptCount val="5"/>
                <c:pt idx="0">
                  <c:v>496</c:v>
                </c:pt>
                <c:pt idx="1">
                  <c:v>148</c:v>
                </c:pt>
                <c:pt idx="2">
                  <c:v>469</c:v>
                </c:pt>
                <c:pt idx="3">
                  <c:v>274</c:v>
                </c:pt>
                <c:pt idx="4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EE-4A5D-9F3C-0BCBE43457AA}"/>
            </c:ext>
          </c:extLst>
        </c:ser>
        <c:ser>
          <c:idx val="0"/>
          <c:order val="4"/>
          <c:tx>
            <c:strRef>
              <c:f>'2020'!$A$41</c:f>
              <c:strCache>
                <c:ptCount val="1"/>
                <c:pt idx="0">
                  <c:v>Campaign Revenue</c:v>
                </c:pt>
              </c:strCache>
            </c:strRef>
          </c:tx>
          <c:spPr>
            <a:solidFill>
              <a:srgbClr val="0081C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'2020'!$B$40:$F$40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'2020'!$B$41:$F$41</c:f>
              <c:numCache>
                <c:formatCode>_(* #,##0_);_(* \(#,##0\);_(* "-"??_);_(@_)</c:formatCode>
                <c:ptCount val="5"/>
                <c:pt idx="0">
                  <c:v>522</c:v>
                </c:pt>
                <c:pt idx="1">
                  <c:v>415</c:v>
                </c:pt>
                <c:pt idx="2">
                  <c:v>566</c:v>
                </c:pt>
                <c:pt idx="3">
                  <c:v>764</c:v>
                </c:pt>
                <c:pt idx="4">
                  <c:v>1036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EE-4A5D-9F3C-0BCBE4345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7195312"/>
        <c:axId val="171724600"/>
      </c:barChart>
      <c:lineChart>
        <c:grouping val="stacked"/>
        <c:varyColors val="0"/>
        <c:ser>
          <c:idx val="3"/>
          <c:order val="5"/>
          <c:tx>
            <c:v>Total</c:v>
          </c:tx>
          <c:spPr>
            <a:ln>
              <a:solidFill>
                <a:srgbClr val="6E548D">
                  <a:alpha val="0"/>
                </a:srgb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0869565217391307E-2"/>
                  <c:y val="-4.0268473399978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EE-4A5D-9F3C-0BCBE43457AA}"/>
                </c:ext>
              </c:extLst>
            </c:dLbl>
            <c:dLbl>
              <c:idx val="1"/>
              <c:layout>
                <c:manualLayout>
                  <c:x val="-4.7826086956521782E-2"/>
                  <c:y val="-4.0268473399978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EE-4A5D-9F3C-0BCBE43457AA}"/>
                </c:ext>
              </c:extLst>
            </c:dLbl>
            <c:dLbl>
              <c:idx val="2"/>
              <c:layout>
                <c:manualLayout>
                  <c:x val="-5.0000000000000079E-2"/>
                  <c:y val="-2.4161084039986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EE-4A5D-9F3C-0BCBE43457AA}"/>
                </c:ext>
              </c:extLst>
            </c:dLbl>
            <c:dLbl>
              <c:idx val="3"/>
              <c:layout>
                <c:manualLayout>
                  <c:x val="-5.2173913043478258E-2"/>
                  <c:y val="-3.221477871998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EE-4A5D-9F3C-0BCBE43457AA}"/>
                </c:ext>
              </c:extLst>
            </c:dLbl>
            <c:dLbl>
              <c:idx val="4"/>
              <c:layout>
                <c:manualLayout>
                  <c:x val="-5.0888394385484502E-2"/>
                  <c:y val="-3.2873025576505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EE-4A5D-9F3C-0BCBE43457A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'2020'!$B$40:$D$40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'2020'!$B$46:$F$46</c:f>
              <c:numCache>
                <c:formatCode>_("$"* #,##0_);_("$"* \(#,##0\);_("$"* "-"??_);_(@_)</c:formatCode>
                <c:ptCount val="5"/>
                <c:pt idx="0">
                  <c:v>2143</c:v>
                </c:pt>
                <c:pt idx="1">
                  <c:v>2183</c:v>
                </c:pt>
                <c:pt idx="2">
                  <c:v>2179</c:v>
                </c:pt>
                <c:pt idx="3">
                  <c:v>2131</c:v>
                </c:pt>
                <c:pt idx="4">
                  <c:v>2027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CCEE-4A5D-9F3C-0BCBE4345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95312"/>
        <c:axId val="171724600"/>
      </c:lineChart>
      <c:catAx>
        <c:axId val="14719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724600"/>
        <c:crosses val="autoZero"/>
        <c:auto val="1"/>
        <c:lblAlgn val="ctr"/>
        <c:lblOffset val="100"/>
        <c:noMultiLvlLbl val="0"/>
      </c:catAx>
      <c:valAx>
        <c:axId val="171724600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crossAx val="147195312"/>
        <c:crosses val="autoZero"/>
        <c:crossBetween val="between"/>
      </c:valAx>
    </c:plotArea>
    <c:legend>
      <c:legendPos val="r"/>
      <c:legendEntry>
        <c:idx val="5"/>
        <c:delete val="1"/>
      </c:legendEntry>
      <c:overlay val="0"/>
    </c:legend>
    <c:plotVisOnly val="0"/>
    <c:dispBlanksAs val="span"/>
    <c:showDLblsOverMax val="0"/>
  </c:chart>
  <c:spPr>
    <a:noFill/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'2020'!$A$73</c:f>
              <c:strCache>
                <c:ptCount val="1"/>
                <c:pt idx="0">
                  <c:v>Program Services</c:v>
                </c:pt>
              </c:strCache>
            </c:strRef>
          </c:tx>
          <c:spPr>
            <a:solidFill>
              <a:srgbClr val="0081C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'2020'!$B$72:$F$72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'2020'!$B$73:$F$73</c:f>
              <c:numCache>
                <c:formatCode>_(* #,##0_);_(* \(#,##0\);_(* "-"??_);_(@_)</c:formatCode>
                <c:ptCount val="5"/>
                <c:pt idx="0">
                  <c:v>1309</c:v>
                </c:pt>
                <c:pt idx="1">
                  <c:v>1133</c:v>
                </c:pt>
                <c:pt idx="2">
                  <c:v>1376</c:v>
                </c:pt>
                <c:pt idx="3">
                  <c:v>1206</c:v>
                </c:pt>
                <c:pt idx="4">
                  <c:v>1047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75-4EC6-B461-691280DFC738}"/>
            </c:ext>
          </c:extLst>
        </c:ser>
        <c:ser>
          <c:idx val="1"/>
          <c:order val="1"/>
          <c:tx>
            <c:strRef>
              <c:f>'2020'!$A$74</c:f>
              <c:strCache>
                <c:ptCount val="1"/>
                <c:pt idx="0">
                  <c:v>Supporting Services</c:v>
                </c:pt>
              </c:strCache>
            </c:strRef>
          </c:tx>
          <c:spPr>
            <a:solidFill>
              <a:srgbClr val="84BD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'2020'!$B$72:$F$72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'2020'!$B$74:$F$74</c:f>
              <c:numCache>
                <c:formatCode>_(* #,##0_);_(* \(#,##0\);_(* "-"??_);_(@_)</c:formatCode>
                <c:ptCount val="5"/>
                <c:pt idx="0">
                  <c:v>753</c:v>
                </c:pt>
                <c:pt idx="1">
                  <c:v>946</c:v>
                </c:pt>
                <c:pt idx="2">
                  <c:v>838</c:v>
                </c:pt>
                <c:pt idx="3">
                  <c:v>809</c:v>
                </c:pt>
                <c:pt idx="4">
                  <c:v>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75-4EC6-B461-691280DFC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71726952"/>
        <c:axId val="171727344"/>
      </c:barChart>
      <c:lineChart>
        <c:grouping val="standard"/>
        <c:varyColors val="0"/>
        <c:ser>
          <c:idx val="2"/>
          <c:order val="2"/>
          <c:tx>
            <c:strRef>
              <c:f>'2020'!$A$75</c:f>
              <c:strCache>
                <c:ptCount val="1"/>
                <c:pt idx="0">
                  <c:v>Total Expenses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1593690438202347E-2"/>
                  <c:y val="-7.2213563546524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75-4EC6-B461-691280DFC738}"/>
                </c:ext>
              </c:extLst>
            </c:dLbl>
            <c:dLbl>
              <c:idx val="1"/>
              <c:layout>
                <c:manualLayout>
                  <c:x val="-5.3784270942035903E-2"/>
                  <c:y val="-6.42802037686582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5-4EC6-B461-691280DFC738}"/>
                </c:ext>
              </c:extLst>
            </c:dLbl>
            <c:dLbl>
              <c:idx val="2"/>
              <c:layout>
                <c:manualLayout>
                  <c:x val="-4.9403109934368826E-2"/>
                  <c:y val="-4.0480124435060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75-4EC6-B461-691280DFC738}"/>
                </c:ext>
              </c:extLst>
            </c:dLbl>
            <c:dLbl>
              <c:idx val="3"/>
              <c:layout>
                <c:manualLayout>
                  <c:x val="-5.2867676863502688E-2"/>
                  <c:y val="-7.2254792030409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75-4EC6-B461-691280DFC738}"/>
                </c:ext>
              </c:extLst>
            </c:dLbl>
            <c:dLbl>
              <c:idx val="4"/>
              <c:layout>
                <c:manualLayout>
                  <c:x val="-5.2867608720627096E-2"/>
                  <c:y val="-0.107287389413307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75-4EC6-B461-691280DFC738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'2020'!$B$75:$F$75</c:f>
              <c:numCache>
                <c:formatCode>_("$"* #,##0_);_("$"* \(#,##0\);_("$"* "-"??_);_(@_)</c:formatCode>
                <c:ptCount val="5"/>
                <c:pt idx="0">
                  <c:v>2062</c:v>
                </c:pt>
                <c:pt idx="1">
                  <c:v>2079</c:v>
                </c:pt>
                <c:pt idx="2">
                  <c:v>2214</c:v>
                </c:pt>
                <c:pt idx="3">
                  <c:v>2015</c:v>
                </c:pt>
                <c:pt idx="4">
                  <c:v>1871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875-4EC6-B461-691280DFC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726952"/>
        <c:axId val="171727344"/>
      </c:lineChart>
      <c:catAx>
        <c:axId val="171726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727344"/>
        <c:crosses val="autoZero"/>
        <c:auto val="1"/>
        <c:lblAlgn val="ctr"/>
        <c:lblOffset val="100"/>
        <c:noMultiLvlLbl val="0"/>
      </c:catAx>
      <c:valAx>
        <c:axId val="171727344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crossAx val="1717269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0.005</cdr:x>
      <cdr:y>0.00889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69B5F1AA-635B-4566-A9C2-EE81CFBA96A8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0.005</cdr:x>
      <cdr:y>0.00889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17AA8214-6DE6-4BD6-82C4-377946687147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0.005</cdr:x>
      <cdr:y>0.00889</cdr:y>
    </cdr:to>
    <cdr:pic>
      <cdr:nvPicPr>
        <cdr:cNvPr id="4" name="chart">
          <a:extLst xmlns:a="http://schemas.openxmlformats.org/drawingml/2006/main">
            <a:ext uri="{FF2B5EF4-FFF2-40B4-BE49-F238E27FC236}">
              <a16:creationId xmlns:a16="http://schemas.microsoft.com/office/drawing/2014/main" id="{C78114E1-7B5C-45AD-9DF6-9FD31889EC7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EB64A5675249AE33988EAED07491" ma:contentTypeVersion="12" ma:contentTypeDescription="Create a new document." ma:contentTypeScope="" ma:versionID="91adb207a1094a69a21113a33b71dc30">
  <xsd:schema xmlns:xsd="http://www.w3.org/2001/XMLSchema" xmlns:xs="http://www.w3.org/2001/XMLSchema" xmlns:p="http://schemas.microsoft.com/office/2006/metadata/properties" xmlns:ns2="0b6426d6-6490-48ef-acd1-10769a0ddc06" xmlns:ns3="2891418e-2076-4d44-8e8f-9cafb561d7f3" targetNamespace="http://schemas.microsoft.com/office/2006/metadata/properties" ma:root="true" ma:fieldsID="9863dedbe53f6f9421f240d2b19cdbfa" ns2:_="" ns3:_="">
    <xsd:import namespace="0b6426d6-6490-48ef-acd1-10769a0ddc06"/>
    <xsd:import namespace="2891418e-2076-4d44-8e8f-9cafb561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26d6-6490-48ef-acd1-10769a0dd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1418e-2076-4d44-8e8f-9cafb561d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654F7-7FE4-4D31-820D-C175F5B87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88473-607F-4FCB-920A-C251CFA42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B558B8-24E1-4DAF-92AC-852098D1C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426d6-6490-48ef-acd1-10769a0ddc06"/>
    <ds:schemaRef ds:uri="2891418e-2076-4d44-8e8f-9cafb561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7FE80-3DA2-40CD-AA56-88AA6E6FB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Riley Meaux</cp:lastModifiedBy>
  <cp:revision>376</cp:revision>
  <cp:lastPrinted>2021-07-19T13:18:00Z</cp:lastPrinted>
  <dcterms:created xsi:type="dcterms:W3CDTF">2021-07-02T17:41:00Z</dcterms:created>
  <dcterms:modified xsi:type="dcterms:W3CDTF">2021-07-19T13:18:00Z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0x010100BAF3EB64A5675249AE33988EAED07491</vt:lpwstr>
  </property>
</Properties>
</file>